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550C3" w14:textId="7148C58F" w:rsidR="00D72133" w:rsidRDefault="00454A16">
      <w:pPr>
        <w:pStyle w:val="CRCoverPage"/>
        <w:tabs>
          <w:tab w:val="right" w:pos="9639"/>
        </w:tabs>
        <w:spacing w:before="120" w:after="0"/>
        <w:rPr>
          <w:b/>
          <w:sz w:val="24"/>
          <w:lang w:eastAsia="zh-CN"/>
        </w:rPr>
      </w:pPr>
      <w:bookmarkStart w:id="0" w:name="_Ref399006623"/>
      <w:bookmarkStart w:id="1" w:name="_Toc92513360"/>
      <w:bookmarkStart w:id="2" w:name="_Toc193024528"/>
      <w:bookmarkStart w:id="3" w:name="_GoBack"/>
      <w:bookmarkEnd w:id="3"/>
      <w:r>
        <w:rPr>
          <w:b/>
          <w:bCs/>
          <w:sz w:val="24"/>
          <w:lang w:eastAsia="zh-CN"/>
        </w:rPr>
        <w:t>3GPP</w:t>
      </w:r>
      <w:r>
        <w:rPr>
          <w:rFonts w:cs="黑体"/>
          <w:b/>
          <w:sz w:val="24"/>
          <w:szCs w:val="24"/>
        </w:rPr>
        <w:t xml:space="preserve"> TSG-</w:t>
      </w:r>
      <w:bookmarkStart w:id="4" w:name="OLE_LINK198"/>
      <w:bookmarkStart w:id="5" w:name="OLE_LINK199"/>
      <w:r>
        <w:rPr>
          <w:rFonts w:cs="黑体"/>
          <w:b/>
          <w:sz w:val="24"/>
          <w:szCs w:val="24"/>
        </w:rPr>
        <w:t>RAN WG2 Meeting</w:t>
      </w:r>
      <w:bookmarkEnd w:id="4"/>
      <w:bookmarkEnd w:id="5"/>
      <w:r>
        <w:rPr>
          <w:rFonts w:cs="黑体"/>
          <w:b/>
          <w:sz w:val="24"/>
          <w:szCs w:val="24"/>
        </w:rPr>
        <w:t xml:space="preserve"> #120</w:t>
      </w:r>
      <w:r>
        <w:rPr>
          <w:b/>
          <w:sz w:val="24"/>
        </w:rPr>
        <w:t xml:space="preserve">          </w:t>
      </w:r>
      <w:r>
        <w:rPr>
          <w:b/>
          <w:sz w:val="24"/>
        </w:rPr>
        <w:tab/>
        <w:t xml:space="preserve">          </w:t>
      </w:r>
      <w:r w:rsidR="004D464D" w:rsidRPr="004D464D">
        <w:rPr>
          <w:b/>
          <w:sz w:val="24"/>
        </w:rPr>
        <w:t>R2-2211513</w:t>
      </w:r>
      <w:r w:rsidR="004D464D" w:rsidRPr="004D464D" w:rsidDel="004D464D">
        <w:rPr>
          <w:b/>
          <w:sz w:val="24"/>
          <w:highlight w:val="cyan"/>
        </w:rPr>
        <w:t xml:space="preserve"> </w:t>
      </w:r>
    </w:p>
    <w:p w14:paraId="79283136" w14:textId="77777777" w:rsidR="00D72133" w:rsidRDefault="00454A16">
      <w:pPr>
        <w:tabs>
          <w:tab w:val="left" w:pos="1985"/>
        </w:tabs>
        <w:overflowPunct w:val="0"/>
        <w:autoSpaceDE w:val="0"/>
        <w:autoSpaceDN w:val="0"/>
        <w:adjustRightInd w:val="0"/>
        <w:textAlignment w:val="baseline"/>
        <w:rPr>
          <w:rFonts w:ascii="Arial" w:hAnsi="Arial" w:cs="Arial"/>
          <w:b/>
          <w:sz w:val="22"/>
        </w:rPr>
      </w:pPr>
      <w:r>
        <w:rPr>
          <w:rFonts w:ascii="Arial" w:eastAsia="MS Mincho" w:hAnsi="Arial" w:cs="Arial"/>
          <w:b/>
          <w:sz w:val="24"/>
          <w:lang w:val="de-DE" w:eastAsia="zh-CN"/>
        </w:rPr>
        <w:t>Toulouse, FR, 14th - 18th Nov, 2022</w:t>
      </w:r>
    </w:p>
    <w:p w14:paraId="7EA023BA" w14:textId="77777777" w:rsidR="004D464D" w:rsidRDefault="004D464D">
      <w:pPr>
        <w:tabs>
          <w:tab w:val="left" w:pos="1985"/>
        </w:tabs>
        <w:overflowPunct w:val="0"/>
        <w:autoSpaceDE w:val="0"/>
        <w:autoSpaceDN w:val="0"/>
        <w:adjustRightInd w:val="0"/>
        <w:textAlignment w:val="baseline"/>
        <w:rPr>
          <w:rFonts w:ascii="Arial" w:hAnsi="Arial" w:cs="Arial"/>
          <w:b/>
          <w:sz w:val="22"/>
        </w:rPr>
      </w:pPr>
    </w:p>
    <w:p w14:paraId="15F4E5CC" w14:textId="0FCFEE5F" w:rsidR="00D72133" w:rsidRDefault="00454A16">
      <w:pPr>
        <w:tabs>
          <w:tab w:val="left" w:pos="1985"/>
        </w:tabs>
        <w:overflowPunct w:val="0"/>
        <w:autoSpaceDE w:val="0"/>
        <w:autoSpaceDN w:val="0"/>
        <w:adjustRightInd w:val="0"/>
        <w:textAlignment w:val="baseline"/>
        <w:rPr>
          <w:rFonts w:ascii="Arial" w:eastAsia="宋体" w:hAnsi="Arial" w:cs="Arial"/>
          <w:b/>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t>8.11.</w:t>
      </w:r>
      <w:r w:rsidR="004D464D">
        <w:rPr>
          <w:rFonts w:ascii="Arial" w:hAnsi="Arial" w:cs="Arial"/>
          <w:sz w:val="22"/>
        </w:rPr>
        <w:t>4</w:t>
      </w:r>
    </w:p>
    <w:p w14:paraId="6F207C47" w14:textId="77777777" w:rsidR="00D72133" w:rsidRDefault="00454A16">
      <w:pPr>
        <w:tabs>
          <w:tab w:val="left" w:pos="1985"/>
        </w:tabs>
        <w:overflowPunct w:val="0"/>
        <w:autoSpaceDE w:val="0"/>
        <w:autoSpaceDN w:val="0"/>
        <w:adjustRightInd w:val="0"/>
        <w:textAlignment w:val="baseline"/>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xml:space="preserve">, </w:t>
      </w:r>
      <w:proofErr w:type="spellStart"/>
      <w:r>
        <w:rPr>
          <w:rFonts w:ascii="Arial" w:eastAsia="宋体" w:hAnsi="Arial" w:cs="Arial"/>
          <w:sz w:val="22"/>
        </w:rPr>
        <w:t>HiSilicon</w:t>
      </w:r>
      <w:proofErr w:type="spellEnd"/>
    </w:p>
    <w:p w14:paraId="4C4CA056" w14:textId="33046CF5" w:rsidR="00D72133" w:rsidRDefault="00454A16">
      <w:pPr>
        <w:overflowPunct w:val="0"/>
        <w:autoSpaceDE w:val="0"/>
        <w:autoSpaceDN w:val="0"/>
        <w:adjustRightInd w:val="0"/>
        <w:ind w:left="1985" w:hanging="1985"/>
        <w:textAlignment w:val="baseline"/>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Pr="000B48F8">
        <w:rPr>
          <w:rFonts w:ascii="Arial" w:hAnsi="Arial"/>
          <w:sz w:val="22"/>
        </w:rPr>
        <w:t xml:space="preserve">Discussion on the RAN3 LS on resource efficiency </w:t>
      </w:r>
      <w:r w:rsidR="004D464D" w:rsidRPr="000B48F8">
        <w:rPr>
          <w:rFonts w:ascii="Arial" w:hAnsi="Arial"/>
          <w:sz w:val="22"/>
        </w:rPr>
        <w:t xml:space="preserve">for MBS reception </w:t>
      </w:r>
      <w:r w:rsidRPr="000B48F8">
        <w:rPr>
          <w:rFonts w:ascii="Arial" w:hAnsi="Arial"/>
          <w:sz w:val="22"/>
        </w:rPr>
        <w:t>in RAN sharing scenario</w:t>
      </w:r>
    </w:p>
    <w:p w14:paraId="32AFD67D" w14:textId="77777777" w:rsidR="00D72133" w:rsidRDefault="00454A16">
      <w:pPr>
        <w:tabs>
          <w:tab w:val="left" w:pos="1985"/>
        </w:tabs>
        <w:overflowPunct w:val="0"/>
        <w:autoSpaceDE w:val="0"/>
        <w:autoSpaceDN w:val="0"/>
        <w:adjustRightInd w:val="0"/>
        <w:textAlignment w:val="baseline"/>
        <w:rPr>
          <w:rFonts w:ascii="Arial" w:eastAsia="宋体" w:hAnsi="Arial" w:cs="Arial"/>
          <w:sz w:val="22"/>
        </w:rPr>
      </w:pPr>
      <w:r>
        <w:rPr>
          <w:rFonts w:ascii="Arial" w:hAnsi="Arial" w:cs="Arial"/>
          <w:b/>
          <w:sz w:val="22"/>
        </w:rPr>
        <w:t>Document for:</w:t>
      </w:r>
      <w:r>
        <w:rPr>
          <w:rFonts w:ascii="Arial" w:hAnsi="Arial" w:cs="Arial"/>
          <w:sz w:val="22"/>
        </w:rPr>
        <w:tab/>
      </w:r>
      <w:r>
        <w:rPr>
          <w:rFonts w:ascii="Arial" w:eastAsia="宋体" w:hAnsi="Arial" w:cs="Arial"/>
          <w:sz w:val="22"/>
        </w:rPr>
        <w:t>Discussion</w:t>
      </w:r>
    </w:p>
    <w:bookmarkEnd w:id="0"/>
    <w:bookmarkEnd w:id="1"/>
    <w:p w14:paraId="1EC44BAF" w14:textId="77777777" w:rsidR="00D72133" w:rsidRDefault="00454A16">
      <w:pPr>
        <w:pStyle w:val="1"/>
        <w:rPr>
          <w:rFonts w:eastAsia="宋体"/>
          <w:lang w:eastAsia="zh-CN"/>
        </w:rPr>
      </w:pPr>
      <w:r>
        <w:rPr>
          <w:rFonts w:eastAsia="宋体"/>
          <w:lang w:eastAsia="zh-CN"/>
        </w:rPr>
        <w:t>1. Introduction</w:t>
      </w:r>
    </w:p>
    <w:p w14:paraId="6B983CFB" w14:textId="77777777" w:rsidR="00D72133" w:rsidRDefault="00454A16">
      <w:pPr>
        <w:spacing w:after="60" w:line="360" w:lineRule="auto"/>
        <w:rPr>
          <w:rFonts w:eastAsiaTheme="minorEastAsia"/>
          <w:lang w:eastAsia="zh-CN"/>
        </w:rPr>
      </w:pPr>
      <w:r>
        <w:rPr>
          <w:lang w:eastAsia="zh-CN"/>
        </w:rPr>
        <w:t xml:space="preserve">In the WID of Enhancements of NR Multicast and Broadcast Services [1], it is stated that RAN3 shall specify how to </w:t>
      </w:r>
      <w:r>
        <w:rPr>
          <w:color w:val="000000"/>
          <w:lang w:val="en-US" w:eastAsia="zh-CN"/>
        </w:rPr>
        <w:t xml:space="preserve">improve the resource efficiency for </w:t>
      </w:r>
      <w:r>
        <w:rPr>
          <w:rFonts w:hint="eastAsia"/>
          <w:color w:val="000000"/>
          <w:lang w:val="en-US" w:eastAsia="zh-CN"/>
        </w:rPr>
        <w:t>MBS reception in RAN sharing scenarios</w:t>
      </w:r>
      <w:r>
        <w:rPr>
          <w:lang w:eastAsia="zh-CN"/>
        </w:rPr>
        <w:t>:</w:t>
      </w:r>
    </w:p>
    <w:tbl>
      <w:tblPr>
        <w:tblStyle w:val="af0"/>
        <w:tblW w:w="9631" w:type="dxa"/>
        <w:tblLayout w:type="fixed"/>
        <w:tblLook w:val="04A0" w:firstRow="1" w:lastRow="0" w:firstColumn="1" w:lastColumn="0" w:noHBand="0" w:noVBand="1"/>
      </w:tblPr>
      <w:tblGrid>
        <w:gridCol w:w="9631"/>
      </w:tblGrid>
      <w:tr w:rsidR="00D72133" w14:paraId="21B1375F" w14:textId="77777777">
        <w:tc>
          <w:tcPr>
            <w:tcW w:w="9631" w:type="dxa"/>
          </w:tcPr>
          <w:p w14:paraId="4A68632B" w14:textId="77777777" w:rsidR="00D72133" w:rsidRDefault="00454A16">
            <w:pPr>
              <w:numPr>
                <w:ilvl w:val="0"/>
                <w:numId w:val="8"/>
              </w:numPr>
              <w:overflowPunct w:val="0"/>
              <w:autoSpaceDE w:val="0"/>
              <w:autoSpaceDN w:val="0"/>
              <w:adjustRightInd w:val="0"/>
              <w:jc w:val="both"/>
              <w:textAlignment w:val="baseline"/>
              <w:rPr>
                <w:rFonts w:eastAsiaTheme="minorEastAsia"/>
                <w:lang w:eastAsia="zh-CN"/>
              </w:rPr>
            </w:pPr>
            <w:r>
              <w:rPr>
                <w:color w:val="000000"/>
                <w:lang w:val="en-US" w:eastAsia="zh-CN"/>
              </w:rPr>
              <w:t>Study and if necessary, s</w:t>
            </w:r>
            <w:r>
              <w:rPr>
                <w:rFonts w:hint="eastAsia"/>
                <w:color w:val="000000"/>
                <w:lang w:val="en-US" w:eastAsia="zh-CN"/>
              </w:rPr>
              <w:t xml:space="preserve">pecify enhancements </w:t>
            </w:r>
            <w:r>
              <w:rPr>
                <w:color w:val="000000"/>
                <w:lang w:val="en-US" w:eastAsia="zh-CN"/>
              </w:rPr>
              <w:t xml:space="preserve">to improve the resource efficiency for </w:t>
            </w:r>
            <w:r>
              <w:rPr>
                <w:rFonts w:hint="eastAsia"/>
                <w:color w:val="000000"/>
                <w:lang w:val="en-US" w:eastAsia="zh-CN"/>
              </w:rPr>
              <w:t>MBS reception in RAN sharing scenarios</w:t>
            </w:r>
            <w:r>
              <w:rPr>
                <w:color w:val="000000"/>
                <w:lang w:val="en-US" w:eastAsia="zh-CN"/>
              </w:rPr>
              <w:t xml:space="preserve"> </w:t>
            </w:r>
            <w:r>
              <w:rPr>
                <w:rFonts w:hint="eastAsia"/>
                <w:color w:val="000000"/>
                <w:lang w:val="en-US" w:eastAsia="zh-CN"/>
              </w:rPr>
              <w:t>[RAN3]</w:t>
            </w:r>
          </w:p>
        </w:tc>
      </w:tr>
    </w:tbl>
    <w:p w14:paraId="26A60DAE" w14:textId="40F6FC4F" w:rsidR="00D72133" w:rsidRDefault="00454A16">
      <w:pPr>
        <w:spacing w:before="180" w:after="60" w:line="360" w:lineRule="auto"/>
      </w:pPr>
      <w:r>
        <w:rPr>
          <w:lang w:eastAsia="zh-CN"/>
        </w:rPr>
        <w:t xml:space="preserve">In RAN3#117bis-e meeting, RAN3 sent an LS [2] to RAN2, asking </w:t>
      </w:r>
      <w:r>
        <w:rPr>
          <w:rFonts w:hint="eastAsia"/>
          <w:lang w:eastAsia="zh-CN"/>
        </w:rPr>
        <w:t>RAN</w:t>
      </w:r>
      <w:r>
        <w:t xml:space="preserve">2 to answer the questions about the </w:t>
      </w:r>
      <w:r>
        <w:rPr>
          <w:rFonts w:hint="eastAsia"/>
        </w:rPr>
        <w:t xml:space="preserve">resource </w:t>
      </w:r>
      <w:proofErr w:type="gramStart"/>
      <w:r>
        <w:rPr>
          <w:rFonts w:hint="eastAsia"/>
        </w:rPr>
        <w:t>efficiency</w:t>
      </w:r>
      <w:proofErr w:type="gramEnd"/>
      <w:r>
        <w:rPr>
          <w:rFonts w:hint="eastAsia"/>
        </w:rPr>
        <w:t xml:space="preserve"> for MBS reception in RAN sharing scenario</w:t>
      </w:r>
      <w:r>
        <w:t xml:space="preserve">. </w:t>
      </w:r>
    </w:p>
    <w:tbl>
      <w:tblPr>
        <w:tblStyle w:val="af0"/>
        <w:tblW w:w="9631" w:type="dxa"/>
        <w:tblLayout w:type="fixed"/>
        <w:tblLook w:val="04A0" w:firstRow="1" w:lastRow="0" w:firstColumn="1" w:lastColumn="0" w:noHBand="0" w:noVBand="1"/>
      </w:tblPr>
      <w:tblGrid>
        <w:gridCol w:w="9631"/>
      </w:tblGrid>
      <w:tr w:rsidR="00D72133" w14:paraId="63714EE8" w14:textId="77777777">
        <w:tc>
          <w:tcPr>
            <w:tcW w:w="9631" w:type="dxa"/>
          </w:tcPr>
          <w:p w14:paraId="4B67A1B4" w14:textId="77777777" w:rsidR="00D72133" w:rsidRDefault="00454A16">
            <w:pPr>
              <w:rPr>
                <w:szCs w:val="22"/>
                <w:lang w:eastAsia="zh-CN"/>
              </w:rPr>
            </w:pPr>
            <w:r>
              <w:rPr>
                <w:szCs w:val="22"/>
                <w:lang w:eastAsia="zh-CN"/>
              </w:rPr>
              <w:t xml:space="preserve">RAN3 has started to work on Rel-18 NR MBS aspects for </w:t>
            </w:r>
            <w:r>
              <w:rPr>
                <w:rFonts w:hint="eastAsia"/>
                <w:szCs w:val="22"/>
                <w:lang w:eastAsia="zh-CN"/>
              </w:rPr>
              <w:t xml:space="preserve">resource efficiency </w:t>
            </w:r>
            <w:r>
              <w:rPr>
                <w:szCs w:val="22"/>
                <w:lang w:eastAsia="zh-CN"/>
              </w:rPr>
              <w:t>of</w:t>
            </w:r>
            <w:r>
              <w:rPr>
                <w:rFonts w:hint="eastAsia"/>
                <w:szCs w:val="22"/>
                <w:lang w:eastAsia="zh-CN"/>
              </w:rPr>
              <w:t xml:space="preserve"> MBS reception in RAN sharing scenario and </w:t>
            </w:r>
            <w:r>
              <w:rPr>
                <w:szCs w:val="22"/>
                <w:lang w:eastAsia="zh-CN"/>
              </w:rPr>
              <w:t>would like to ask the following:</w:t>
            </w:r>
          </w:p>
          <w:p w14:paraId="61B359E5" w14:textId="77777777" w:rsidR="00D72133" w:rsidRDefault="00454A16">
            <w:pPr>
              <w:rPr>
                <w:lang w:eastAsia="zh-CN"/>
              </w:rPr>
            </w:pPr>
            <w:r>
              <w:rPr>
                <w:lang w:eastAsia="zh-CN"/>
              </w:rPr>
              <w:t>(1) Does RRC support in Rel-17 configuration of an MBS broadcast session, which is associated with multiple TMGIs?</w:t>
            </w:r>
          </w:p>
          <w:p w14:paraId="388C886C" w14:textId="77777777" w:rsidR="00D72133" w:rsidRDefault="00454A16">
            <w:pPr>
              <w:rPr>
                <w:lang w:eastAsia="zh-CN"/>
              </w:rPr>
            </w:pPr>
            <w:r>
              <w:rPr>
                <w:lang w:eastAsia="zh-CN"/>
              </w:rPr>
              <w:t>(2) RRC supports the indication whether a neighbour cell provides the broadcast service on MTCH</w:t>
            </w:r>
            <w:r>
              <w:rPr>
                <w:rFonts w:hint="eastAsia"/>
                <w:lang w:eastAsia="zh-CN"/>
              </w:rPr>
              <w:t xml:space="preserve">. </w:t>
            </w:r>
            <w:r>
              <w:rPr>
                <w:lang w:eastAsia="zh-CN"/>
              </w:rPr>
              <w:t xml:space="preserve">Given the size of the </w:t>
            </w:r>
            <w:proofErr w:type="spellStart"/>
            <w:r>
              <w:rPr>
                <w:i/>
                <w:iCs/>
              </w:rPr>
              <w:t>mbs-NeighbourCellList</w:t>
            </w:r>
            <w:proofErr w:type="spellEnd"/>
            <w:r>
              <w:rPr>
                <w:lang w:eastAsia="zh-CN"/>
              </w:rPr>
              <w:t xml:space="preserve"> </w:t>
            </w:r>
            <w:r>
              <w:rPr>
                <w:rFonts w:hint="eastAsia"/>
                <w:lang w:eastAsia="zh-CN"/>
              </w:rPr>
              <w:t>to</w:t>
            </w:r>
            <w:r>
              <w:rPr>
                <w:lang w:eastAsia="zh-CN"/>
              </w:rPr>
              <w:t xml:space="preserve"> which the </w:t>
            </w:r>
            <w:proofErr w:type="spellStart"/>
            <w:r>
              <w:rPr>
                <w:i/>
                <w:iCs/>
              </w:rPr>
              <w:t>mtch-NeighbourCell</w:t>
            </w:r>
            <w:proofErr w:type="spellEnd"/>
            <w:r>
              <w:rPr>
                <w:color w:val="002060"/>
              </w:rPr>
              <w:t xml:space="preserve"> </w:t>
            </w:r>
            <w:r>
              <w:rPr>
                <w:lang w:eastAsia="zh-CN"/>
              </w:rPr>
              <w:t xml:space="preserve">in each </w:t>
            </w:r>
            <w:r>
              <w:rPr>
                <w:i/>
                <w:iCs/>
              </w:rPr>
              <w:t>MBS-</w:t>
            </w:r>
            <w:proofErr w:type="spellStart"/>
            <w:r>
              <w:rPr>
                <w:i/>
                <w:iCs/>
              </w:rPr>
              <w:t>SessionInfo</w:t>
            </w:r>
            <w:proofErr w:type="spellEnd"/>
            <w:r>
              <w:rPr>
                <w:color w:val="002060"/>
              </w:rPr>
              <w:t xml:space="preserve"> </w:t>
            </w:r>
            <w:r>
              <w:rPr>
                <w:lang w:eastAsia="zh-CN"/>
              </w:rPr>
              <w:t>item refers to, it is possible that not all neighbour cells can be indicat</w:t>
            </w:r>
            <w:r>
              <w:rPr>
                <w:rFonts w:hint="eastAsia"/>
                <w:lang w:eastAsia="zh-CN"/>
              </w:rPr>
              <w:t xml:space="preserve">ed. </w:t>
            </w:r>
            <w:r>
              <w:rPr>
                <w:lang w:eastAsia="zh-CN"/>
              </w:rPr>
              <w:t>This</w:t>
            </w:r>
            <w:r>
              <w:rPr>
                <w:rFonts w:hint="eastAsia"/>
                <w:lang w:eastAsia="zh-CN"/>
              </w:rPr>
              <w:t xml:space="preserve"> size-limitation would</w:t>
            </w:r>
            <w:r>
              <w:rPr>
                <w:lang w:eastAsia="zh-CN"/>
              </w:rPr>
              <w:t xml:space="preserve"> </w:t>
            </w:r>
            <w:r>
              <w:rPr>
                <w:rFonts w:hint="eastAsia"/>
                <w:lang w:eastAsia="zh-CN"/>
              </w:rPr>
              <w:t>presumably</w:t>
            </w:r>
            <w:r>
              <w:rPr>
                <w:lang w:eastAsia="zh-CN"/>
              </w:rPr>
              <w:t xml:space="preserve"> be more acute in RAN sharing scenarios, at the border between a shared area and a non-shared area or similar. Can it be assumed that service continuity is also supported towards a neighbour cell not indicated in th</w:t>
            </w:r>
            <w:r>
              <w:rPr>
                <w:color w:val="002060"/>
              </w:rPr>
              <w:t xml:space="preserve">e </w:t>
            </w:r>
            <w:proofErr w:type="spellStart"/>
            <w:r>
              <w:rPr>
                <w:i/>
                <w:iCs/>
              </w:rPr>
              <w:t>mbs-NeighbourCellList</w:t>
            </w:r>
            <w:proofErr w:type="spellEnd"/>
            <w:r>
              <w:rPr>
                <w:rFonts w:hint="eastAsia"/>
                <w:color w:val="002060"/>
                <w:lang w:eastAsia="zh-CN"/>
              </w:rPr>
              <w:t>?</w:t>
            </w:r>
          </w:p>
          <w:p w14:paraId="025A7619" w14:textId="77777777" w:rsidR="00D72133" w:rsidRDefault="00454A16">
            <w:pPr>
              <w:rPr>
                <w:rFonts w:eastAsiaTheme="minorEastAsia"/>
                <w:szCs w:val="22"/>
                <w:lang w:eastAsia="zh-CN"/>
              </w:rPr>
            </w:pPr>
            <w:r>
              <w:rPr>
                <w:lang w:eastAsia="zh-CN"/>
              </w:rPr>
              <w:t>(3) Is there any significant limitation from RRC point of view if the TMGI as received by the 5GC contains a PLMN/SNPN ID not broadcast in SIB1?</w:t>
            </w:r>
          </w:p>
        </w:tc>
      </w:tr>
    </w:tbl>
    <w:p w14:paraId="0CED1279" w14:textId="75F7A2A3" w:rsidR="00D72133" w:rsidRDefault="00454A16">
      <w:pPr>
        <w:spacing w:before="180" w:after="60" w:line="360" w:lineRule="auto"/>
        <w:rPr>
          <w:rFonts w:eastAsiaTheme="minorEastAsia"/>
          <w:lang w:eastAsia="zh-CN"/>
        </w:rPr>
      </w:pPr>
      <w:r>
        <w:rPr>
          <w:rFonts w:eastAsiaTheme="minorEastAsia" w:hint="eastAsia"/>
          <w:lang w:eastAsia="zh-CN"/>
        </w:rPr>
        <w:t>I</w:t>
      </w:r>
      <w:r>
        <w:rPr>
          <w:rFonts w:eastAsiaTheme="minorEastAsia"/>
          <w:lang w:eastAsia="zh-CN"/>
        </w:rPr>
        <w:t>n this contribution, we will discuss the related questions and provide our view</w:t>
      </w:r>
      <w:r w:rsidR="004D464D">
        <w:rPr>
          <w:rFonts w:eastAsiaTheme="minorEastAsia"/>
          <w:lang w:eastAsia="zh-CN"/>
        </w:rPr>
        <w:t>s</w:t>
      </w:r>
      <w:r>
        <w:rPr>
          <w:rFonts w:eastAsiaTheme="minorEastAsia"/>
          <w:lang w:eastAsia="zh-CN"/>
        </w:rPr>
        <w:t xml:space="preserve"> on RAN2</w:t>
      </w:r>
      <w:r w:rsidR="004D464D">
        <w:rPr>
          <w:rFonts w:eastAsiaTheme="minorEastAsia"/>
          <w:lang w:eastAsia="zh-CN"/>
        </w:rPr>
        <w:t>’s</w:t>
      </w:r>
      <w:r>
        <w:rPr>
          <w:rFonts w:eastAsiaTheme="minorEastAsia"/>
          <w:lang w:eastAsia="zh-CN"/>
        </w:rPr>
        <w:t xml:space="preserve"> feedback to RAN3.</w:t>
      </w:r>
    </w:p>
    <w:p w14:paraId="7DEA5D8E" w14:textId="77777777" w:rsidR="00D72133" w:rsidRDefault="00454A16">
      <w:pPr>
        <w:pStyle w:val="1"/>
        <w:rPr>
          <w:rFonts w:eastAsia="宋体"/>
          <w:lang w:eastAsia="zh-CN"/>
        </w:rPr>
      </w:pPr>
      <w:bookmarkStart w:id="6" w:name="OLE_LINK1"/>
      <w:bookmarkStart w:id="7" w:name="OLE_LINK2"/>
      <w:r>
        <w:rPr>
          <w:rFonts w:eastAsia="宋体"/>
          <w:lang w:eastAsia="zh-CN"/>
        </w:rPr>
        <w:t>2. Discussion</w:t>
      </w:r>
    </w:p>
    <w:p w14:paraId="23141A3B" w14:textId="77777777" w:rsidR="00D72133" w:rsidRDefault="00454A16">
      <w:pPr>
        <w:outlineLvl w:val="1"/>
        <w:rPr>
          <w:rFonts w:ascii="Arial" w:eastAsiaTheme="minorEastAsia" w:hAnsi="Arial" w:cs="Arial"/>
          <w:sz w:val="24"/>
          <w:lang w:eastAsia="zh-CN"/>
        </w:rPr>
      </w:pPr>
      <w:bookmarkStart w:id="8" w:name="_Toc423020279"/>
      <w:bookmarkStart w:id="9" w:name="_Toc423020296"/>
      <w:bookmarkStart w:id="10" w:name="_Toc423019950"/>
      <w:bookmarkEnd w:id="6"/>
      <w:bookmarkEnd w:id="7"/>
      <w:bookmarkEnd w:id="8"/>
      <w:bookmarkEnd w:id="9"/>
      <w:bookmarkEnd w:id="10"/>
      <w:r>
        <w:rPr>
          <w:rFonts w:ascii="Arial" w:eastAsiaTheme="minorEastAsia" w:hAnsi="Arial" w:cs="Arial"/>
          <w:sz w:val="24"/>
          <w:lang w:eastAsia="zh-CN"/>
        </w:rPr>
        <w:t>For question (1):</w:t>
      </w:r>
    </w:p>
    <w:p w14:paraId="553F16D5" w14:textId="77777777" w:rsidR="00D72133" w:rsidRDefault="00454A16">
      <w:pPr>
        <w:spacing w:before="60" w:after="60"/>
        <w:rPr>
          <w:u w:val="single"/>
          <w:lang w:eastAsia="zh-CN"/>
        </w:rPr>
      </w:pPr>
      <w:r>
        <w:rPr>
          <w:u w:val="single"/>
          <w:lang w:eastAsia="zh-CN"/>
        </w:rPr>
        <w:t>(1) Does RRC support in Rel-17 configuration of an MBS broadcast session, which is associated with multiple TMGIs?</w:t>
      </w:r>
    </w:p>
    <w:p w14:paraId="705BDB91" w14:textId="77777777" w:rsidR="00D72133" w:rsidRDefault="00454A16">
      <w:pPr>
        <w:spacing w:before="60" w:after="60" w:line="360" w:lineRule="auto"/>
        <w:rPr>
          <w:rFonts w:eastAsiaTheme="minorEastAsia"/>
          <w:lang w:eastAsia="zh-CN"/>
        </w:rPr>
      </w:pPr>
      <w:r>
        <w:rPr>
          <w:rFonts w:eastAsiaTheme="minorEastAsia"/>
          <w:lang w:eastAsia="zh-CN"/>
        </w:rPr>
        <w:t>Based on the current RRC specification, the broadcast configuration is provided in MCCH message as below:</w:t>
      </w:r>
    </w:p>
    <w:p w14:paraId="0F0342FD"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MBS-SessionInfoList-</w:t>
      </w:r>
      <w:proofErr w:type="gramStart"/>
      <w:r>
        <w:rPr>
          <w:rFonts w:ascii="Courier New" w:hAnsi="Courier New"/>
          <w:sz w:val="16"/>
          <w:lang w:eastAsia="en-GB"/>
        </w:rPr>
        <w:t>r17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(1..maxNrofMBS-Session-r17))</w:t>
      </w:r>
      <w:r>
        <w:rPr>
          <w:rFonts w:ascii="Courier New" w:hAnsi="Courier New"/>
          <w:color w:val="993366"/>
          <w:sz w:val="16"/>
          <w:lang w:eastAsia="en-GB"/>
        </w:rPr>
        <w:t xml:space="preserve"> OF</w:t>
      </w:r>
      <w:r>
        <w:rPr>
          <w:rFonts w:ascii="Courier New" w:hAnsi="Courier New"/>
          <w:sz w:val="16"/>
          <w:lang w:eastAsia="en-GB"/>
        </w:rPr>
        <w:t xml:space="preserve"> MBS-SessionInfo-r17</w:t>
      </w:r>
    </w:p>
    <w:p w14:paraId="0B2D9A63" w14:textId="77777777" w:rsidR="00D72133" w:rsidRDefault="00D721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887D76"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MBS-SessionInfo-</w:t>
      </w:r>
      <w:proofErr w:type="gramStart"/>
      <w:r>
        <w:rPr>
          <w:rFonts w:ascii="Courier New" w:hAnsi="Courier New"/>
          <w:sz w:val="16"/>
          <w:lang w:eastAsia="en-GB"/>
        </w:rPr>
        <w:t>r17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2420C3B"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highlight w:val="yellow"/>
          <w:lang w:eastAsia="en-GB"/>
        </w:rPr>
        <w:t>mbs-SessionId-r17</w:t>
      </w:r>
      <w:proofErr w:type="gramEnd"/>
      <w:r>
        <w:rPr>
          <w:rFonts w:ascii="Courier New" w:hAnsi="Courier New"/>
          <w:sz w:val="16"/>
          <w:highlight w:val="yellow"/>
          <w:lang w:eastAsia="en-GB"/>
        </w:rPr>
        <w:t xml:space="preserve">                TMGI-r17</w:t>
      </w:r>
      <w:r>
        <w:rPr>
          <w:rFonts w:ascii="Courier New" w:hAnsi="Courier New"/>
          <w:sz w:val="16"/>
          <w:lang w:eastAsia="en-GB"/>
        </w:rPr>
        <w:t>,</w:t>
      </w:r>
    </w:p>
    <w:p w14:paraId="1ADC10B9"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g-RNTI-r17</w:t>
      </w:r>
      <w:proofErr w:type="gramEnd"/>
      <w:r>
        <w:rPr>
          <w:rFonts w:ascii="Courier New" w:hAnsi="Courier New"/>
          <w:sz w:val="16"/>
          <w:lang w:eastAsia="en-GB"/>
        </w:rPr>
        <w:t xml:space="preserve">                       RNTI-Value,</w:t>
      </w:r>
    </w:p>
    <w:p w14:paraId="077A4228"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mrb-ListBroadcast-r17</w:t>
      </w:r>
      <w:proofErr w:type="gramEnd"/>
      <w:r>
        <w:rPr>
          <w:rFonts w:ascii="Courier New" w:hAnsi="Courier New"/>
          <w:sz w:val="16"/>
          <w:lang w:eastAsia="en-GB"/>
        </w:rPr>
        <w:t xml:space="preserve">            </w:t>
      </w:r>
      <w:proofErr w:type="spellStart"/>
      <w:r>
        <w:rPr>
          <w:rFonts w:ascii="Courier New" w:hAnsi="Courier New"/>
          <w:sz w:val="16"/>
          <w:lang w:eastAsia="en-GB"/>
        </w:rPr>
        <w:t>MRB-ListBroadcast-r17</w:t>
      </w:r>
      <w:proofErr w:type="spellEnd"/>
      <w:r>
        <w:rPr>
          <w:rFonts w:ascii="Courier New" w:hAnsi="Courier New"/>
          <w:sz w:val="16"/>
          <w:lang w:eastAsia="en-GB"/>
        </w:rPr>
        <w:t>,</w:t>
      </w:r>
    </w:p>
    <w:p w14:paraId="7848ADCD"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mtch-SchedulingInfo-r17</w:t>
      </w:r>
      <w:proofErr w:type="gramEnd"/>
      <w:r>
        <w:rPr>
          <w:rFonts w:ascii="Courier New" w:hAnsi="Courier New"/>
          <w:sz w:val="16"/>
          <w:lang w:eastAsia="en-GB"/>
        </w:rPr>
        <w:t xml:space="preserve">          DRX-ConfigPTM-Index-r17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1740974C"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mtch-NeighbourCell-r17</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(maxNeighCellMBS-r17))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3F901F9"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pdsch-ConfigIndex-r17</w:t>
      </w:r>
      <w:proofErr w:type="gramEnd"/>
      <w:r>
        <w:rPr>
          <w:rFonts w:ascii="Courier New" w:hAnsi="Courier New"/>
          <w:sz w:val="16"/>
          <w:lang w:eastAsia="en-GB"/>
        </w:rPr>
        <w:t xml:space="preserve">            </w:t>
      </w:r>
      <w:proofErr w:type="spellStart"/>
      <w:r>
        <w:rPr>
          <w:rFonts w:ascii="Courier New" w:hAnsi="Courier New"/>
          <w:sz w:val="16"/>
          <w:lang w:eastAsia="en-GB"/>
        </w:rPr>
        <w:t>PDSCH-ConfigIndex-r17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14:paraId="22CD6C40"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mtch-SSB-MappingWindowIndex-</w:t>
      </w:r>
      <w:proofErr w:type="gramStart"/>
      <w:r>
        <w:rPr>
          <w:rFonts w:ascii="Courier New" w:hAnsi="Courier New"/>
          <w:sz w:val="16"/>
          <w:lang w:eastAsia="en-GB"/>
        </w:rPr>
        <w:t xml:space="preserve">r17  </w:t>
      </w:r>
      <w:proofErr w:type="spellStart"/>
      <w:r>
        <w:rPr>
          <w:rFonts w:ascii="Courier New" w:hAnsi="Courier New"/>
          <w:sz w:val="16"/>
          <w:lang w:eastAsia="en-GB"/>
        </w:rPr>
        <w:t>MTCH</w:t>
      </w:r>
      <w:proofErr w:type="gramEnd"/>
      <w:r>
        <w:rPr>
          <w:rFonts w:ascii="Courier New" w:hAnsi="Courier New"/>
          <w:sz w:val="16"/>
          <w:lang w:eastAsia="en-GB"/>
        </w:rPr>
        <w:t>-SSB-MappingWindowIndex-r17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3DBE8EF8" w14:textId="77777777" w:rsidR="00D72133" w:rsidRDefault="00454A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7F9104" w14:textId="0B28427E" w:rsidR="00D72133" w:rsidRDefault="00454A16">
      <w:pPr>
        <w:spacing w:line="360" w:lineRule="auto"/>
        <w:rPr>
          <w:rFonts w:eastAsiaTheme="minorEastAsia"/>
          <w:lang w:eastAsia="zh-CN"/>
        </w:rPr>
      </w:pPr>
      <w:r>
        <w:rPr>
          <w:rFonts w:eastAsiaTheme="minorEastAsia"/>
          <w:lang w:eastAsia="zh-CN"/>
        </w:rPr>
        <w:lastRenderedPageBreak/>
        <w:t xml:space="preserve">As can be seen, the configuration for each broadcast session is provided to UEs separately, e.g. G-RNTI, MRB, DRX, neighbour cell info, </w:t>
      </w:r>
      <w:r>
        <w:t xml:space="preserve">PDSCH </w:t>
      </w:r>
      <w:proofErr w:type="spellStart"/>
      <w:r>
        <w:t>config</w:t>
      </w:r>
      <w:proofErr w:type="spellEnd"/>
      <w:r>
        <w:t xml:space="preserve">, </w:t>
      </w:r>
      <w:r>
        <w:rPr>
          <w:rFonts w:eastAsiaTheme="minorEastAsia"/>
          <w:lang w:eastAsia="zh-CN"/>
        </w:rPr>
        <w:t xml:space="preserve">MTCH-SSB mapping window info in </w:t>
      </w:r>
      <w:r>
        <w:rPr>
          <w:rFonts w:eastAsiaTheme="minorEastAsia"/>
          <w:i/>
          <w:lang w:eastAsia="zh-CN"/>
        </w:rPr>
        <w:t>MBS-</w:t>
      </w:r>
      <w:proofErr w:type="spellStart"/>
      <w:r>
        <w:rPr>
          <w:rFonts w:eastAsiaTheme="minorEastAsia"/>
          <w:i/>
          <w:lang w:eastAsia="zh-CN"/>
        </w:rPr>
        <w:t>SessionInfo</w:t>
      </w:r>
      <w:proofErr w:type="spellEnd"/>
      <w:r>
        <w:rPr>
          <w:rFonts w:eastAsiaTheme="minorEastAsia"/>
          <w:lang w:eastAsia="zh-CN"/>
        </w:rPr>
        <w:t xml:space="preserve"> IE. Among these configurations, the full dedicated G-RNTI and the MRB configuration are indicated separately for a broadcast session. On the other hand, all of the DRX </w:t>
      </w:r>
      <w:proofErr w:type="spellStart"/>
      <w:r>
        <w:rPr>
          <w:rFonts w:eastAsiaTheme="minorEastAsia"/>
          <w:lang w:eastAsia="zh-CN"/>
        </w:rPr>
        <w:t>config</w:t>
      </w:r>
      <w:proofErr w:type="spellEnd"/>
      <w:r>
        <w:rPr>
          <w:rFonts w:eastAsiaTheme="minorEastAsia"/>
          <w:lang w:eastAsia="zh-CN"/>
        </w:rPr>
        <w:t xml:space="preserve">, neighbour cell info, </w:t>
      </w:r>
      <w:r>
        <w:t xml:space="preserve">PDSCH </w:t>
      </w:r>
      <w:proofErr w:type="spellStart"/>
      <w:r>
        <w:t>config</w:t>
      </w:r>
      <w:proofErr w:type="spellEnd"/>
      <w:r>
        <w:t xml:space="preserve">, </w:t>
      </w:r>
      <w:r>
        <w:rPr>
          <w:rFonts w:eastAsiaTheme="minorEastAsia"/>
          <w:lang w:eastAsia="zh-CN"/>
        </w:rPr>
        <w:t xml:space="preserve">MTCH-SSB mapping window info are provided in the form of index for each broadcast session separately, i.e. the full configuration is provided in MCCH for all broadcast session only once. Thus, it is possible to use the same configurations for multiple TMGIs. In the current RRC specification, the size of </w:t>
      </w:r>
      <w:proofErr w:type="spellStart"/>
      <w:r>
        <w:rPr>
          <w:rFonts w:eastAsiaTheme="minorEastAsia" w:hint="eastAsia"/>
          <w:i/>
          <w:iCs/>
          <w:lang w:eastAsia="zh-CN"/>
        </w:rPr>
        <w:t>maxNrofMBS</w:t>
      </w:r>
      <w:proofErr w:type="spellEnd"/>
      <w:r>
        <w:rPr>
          <w:rFonts w:eastAsiaTheme="minorEastAsia" w:hint="eastAsia"/>
          <w:i/>
          <w:iCs/>
          <w:lang w:eastAsia="zh-CN"/>
        </w:rPr>
        <w:t>-Session</w:t>
      </w:r>
      <w:r>
        <w:rPr>
          <w:rFonts w:eastAsiaTheme="minorEastAsia"/>
          <w:lang w:eastAsia="zh-CN"/>
        </w:rPr>
        <w:t xml:space="preserve"> is given as 1024, which is enough for all services provided by multiple PLMNs. </w:t>
      </w:r>
    </w:p>
    <w:p w14:paraId="2E71AD25" w14:textId="77777777" w:rsidR="00D72133" w:rsidRDefault="00454A1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Question (1): </w:t>
      </w:r>
    </w:p>
    <w:p w14:paraId="4DA35B69" w14:textId="696D7FF0" w:rsidR="00D72133" w:rsidRDefault="00454A16">
      <w:pPr>
        <w:spacing w:line="360" w:lineRule="auto"/>
        <w:rPr>
          <w:rFonts w:eastAsiaTheme="minorEastAsia"/>
          <w:lang w:eastAsia="zh-CN"/>
        </w:rPr>
      </w:pPr>
      <w:r>
        <w:rPr>
          <w:rFonts w:eastAsiaTheme="minorEastAsia" w:hint="eastAsia"/>
          <w:lang w:eastAsia="zh-CN"/>
        </w:rPr>
        <w:t>R</w:t>
      </w:r>
      <w:r>
        <w:rPr>
          <w:rFonts w:eastAsiaTheme="minorEastAsia"/>
          <w:lang w:eastAsia="zh-CN"/>
        </w:rPr>
        <w:t>AN 2 confirm configuration of each MBS broadcast session is provided separately for each TMGI. However, most of the configuration parameters including DRX configuration, PDSCH configuration and MTCH-SSB mapping window are configured as an index to one item in the list of configurations and the list is configured per cell, i.e. these configurations are not repeated for each session in case the same settings are used by these sessions.</w:t>
      </w:r>
    </w:p>
    <w:p w14:paraId="0EF6B014" w14:textId="77777777" w:rsidR="00D72133" w:rsidRDefault="00454A16">
      <w:pPr>
        <w:outlineLvl w:val="1"/>
        <w:rPr>
          <w:rFonts w:ascii="Arial" w:eastAsiaTheme="minorEastAsia" w:hAnsi="Arial" w:cs="Arial"/>
          <w:sz w:val="24"/>
          <w:lang w:eastAsia="zh-CN"/>
        </w:rPr>
      </w:pPr>
      <w:r>
        <w:rPr>
          <w:rFonts w:ascii="Arial" w:eastAsiaTheme="minorEastAsia" w:hAnsi="Arial" w:cs="Arial"/>
          <w:sz w:val="24"/>
          <w:lang w:eastAsia="zh-CN"/>
        </w:rPr>
        <w:t>For question (2):</w:t>
      </w:r>
    </w:p>
    <w:p w14:paraId="28CD9615" w14:textId="77777777" w:rsidR="00D72133" w:rsidRDefault="00454A16">
      <w:pPr>
        <w:rPr>
          <w:u w:val="single"/>
          <w:lang w:eastAsia="zh-CN"/>
        </w:rPr>
      </w:pPr>
      <w:r>
        <w:rPr>
          <w:u w:val="single"/>
          <w:lang w:eastAsia="zh-CN"/>
        </w:rPr>
        <w:t>(2) RRC supports the indication whether a neighbour cell provides the broadcast service on MTCH</w:t>
      </w:r>
      <w:r>
        <w:rPr>
          <w:rFonts w:hint="eastAsia"/>
          <w:u w:val="single"/>
          <w:lang w:eastAsia="zh-CN"/>
        </w:rPr>
        <w:t xml:space="preserve">. </w:t>
      </w:r>
      <w:r>
        <w:rPr>
          <w:u w:val="single"/>
          <w:lang w:eastAsia="zh-CN"/>
        </w:rPr>
        <w:t xml:space="preserve">Given the size of the </w:t>
      </w:r>
      <w:proofErr w:type="spellStart"/>
      <w:r>
        <w:rPr>
          <w:i/>
          <w:iCs/>
          <w:u w:val="single"/>
        </w:rPr>
        <w:t>mbs-NeighbourCellList</w:t>
      </w:r>
      <w:proofErr w:type="spellEnd"/>
      <w:r>
        <w:rPr>
          <w:u w:val="single"/>
          <w:lang w:eastAsia="zh-CN"/>
        </w:rPr>
        <w:t xml:space="preserve"> </w:t>
      </w:r>
      <w:r>
        <w:rPr>
          <w:rFonts w:hint="eastAsia"/>
          <w:u w:val="single"/>
          <w:lang w:eastAsia="zh-CN"/>
        </w:rPr>
        <w:t>to</w:t>
      </w:r>
      <w:r>
        <w:rPr>
          <w:u w:val="single"/>
          <w:lang w:eastAsia="zh-CN"/>
        </w:rPr>
        <w:t xml:space="preserve"> which the </w:t>
      </w:r>
      <w:proofErr w:type="spellStart"/>
      <w:r>
        <w:rPr>
          <w:i/>
          <w:iCs/>
          <w:u w:val="single"/>
        </w:rPr>
        <w:t>mtch-NeighbourCell</w:t>
      </w:r>
      <w:proofErr w:type="spellEnd"/>
      <w:r>
        <w:rPr>
          <w:color w:val="002060"/>
          <w:u w:val="single"/>
        </w:rPr>
        <w:t xml:space="preserve"> </w:t>
      </w:r>
      <w:r>
        <w:rPr>
          <w:u w:val="single"/>
          <w:lang w:eastAsia="zh-CN"/>
        </w:rPr>
        <w:t xml:space="preserve">in each </w:t>
      </w:r>
      <w:r>
        <w:rPr>
          <w:i/>
          <w:iCs/>
          <w:u w:val="single"/>
        </w:rPr>
        <w:t>MBS-</w:t>
      </w:r>
      <w:proofErr w:type="spellStart"/>
      <w:r>
        <w:rPr>
          <w:i/>
          <w:iCs/>
          <w:u w:val="single"/>
        </w:rPr>
        <w:t>SessionInfo</w:t>
      </w:r>
      <w:proofErr w:type="spellEnd"/>
      <w:r>
        <w:rPr>
          <w:color w:val="002060"/>
          <w:u w:val="single"/>
        </w:rPr>
        <w:t xml:space="preserve"> </w:t>
      </w:r>
      <w:r>
        <w:rPr>
          <w:u w:val="single"/>
          <w:lang w:eastAsia="zh-CN"/>
        </w:rPr>
        <w:t>item refers to, it is possible that not all neighbour cells can be indicat</w:t>
      </w:r>
      <w:r>
        <w:rPr>
          <w:rFonts w:hint="eastAsia"/>
          <w:u w:val="single"/>
          <w:lang w:eastAsia="zh-CN"/>
        </w:rPr>
        <w:t xml:space="preserve">ed. </w:t>
      </w:r>
      <w:r>
        <w:rPr>
          <w:u w:val="single"/>
          <w:lang w:eastAsia="zh-CN"/>
        </w:rPr>
        <w:t>This</w:t>
      </w:r>
      <w:r>
        <w:rPr>
          <w:rFonts w:hint="eastAsia"/>
          <w:u w:val="single"/>
          <w:lang w:eastAsia="zh-CN"/>
        </w:rPr>
        <w:t xml:space="preserve"> size-limitation would</w:t>
      </w:r>
      <w:r>
        <w:rPr>
          <w:u w:val="single"/>
          <w:lang w:eastAsia="zh-CN"/>
        </w:rPr>
        <w:t xml:space="preserve"> </w:t>
      </w:r>
      <w:r>
        <w:rPr>
          <w:rFonts w:hint="eastAsia"/>
          <w:u w:val="single"/>
          <w:lang w:eastAsia="zh-CN"/>
        </w:rPr>
        <w:t>presumably</w:t>
      </w:r>
      <w:r>
        <w:rPr>
          <w:u w:val="single"/>
          <w:lang w:eastAsia="zh-CN"/>
        </w:rPr>
        <w:t xml:space="preserve"> be more acute in RAN sharing scenarios, at the border between a shared area and a non-shared area or similar. Can it be assumed that service continuity is also supported towards a neighbour cell not indicated in th</w:t>
      </w:r>
      <w:r>
        <w:rPr>
          <w:color w:val="002060"/>
          <w:u w:val="single"/>
        </w:rPr>
        <w:t xml:space="preserve">e </w:t>
      </w:r>
      <w:proofErr w:type="spellStart"/>
      <w:r>
        <w:rPr>
          <w:i/>
          <w:iCs/>
          <w:u w:val="single"/>
        </w:rPr>
        <w:t>mbs-NeighbourCellList</w:t>
      </w:r>
      <w:proofErr w:type="spellEnd"/>
      <w:r>
        <w:rPr>
          <w:rFonts w:hint="eastAsia"/>
          <w:color w:val="002060"/>
          <w:u w:val="single"/>
          <w:lang w:eastAsia="zh-CN"/>
        </w:rPr>
        <w:t>?</w:t>
      </w:r>
    </w:p>
    <w:p w14:paraId="268EE70C" w14:textId="01775716" w:rsidR="00D72133" w:rsidRDefault="00454A16">
      <w:pPr>
        <w:spacing w:line="360" w:lineRule="auto"/>
        <w:rPr>
          <w:szCs w:val="22"/>
          <w:lang w:eastAsia="zh-CN"/>
        </w:rPr>
      </w:pPr>
      <w:r>
        <w:rPr>
          <w:szCs w:val="22"/>
          <w:lang w:eastAsia="zh-CN"/>
        </w:rPr>
        <w:t xml:space="preserve">In the current version of RRC specification, it is assumed that whether the broadcast service is provided in all the neighbour cells can be indicated via </w:t>
      </w:r>
      <w:proofErr w:type="spellStart"/>
      <w:r>
        <w:rPr>
          <w:i/>
          <w:szCs w:val="22"/>
          <w:lang w:eastAsia="zh-CN"/>
        </w:rPr>
        <w:t>mtch-NeighbourCell</w:t>
      </w:r>
      <w:proofErr w:type="spellEnd"/>
      <w:r>
        <w:rPr>
          <w:szCs w:val="22"/>
          <w:lang w:eastAsia="zh-CN"/>
        </w:rPr>
        <w:t>. I</w:t>
      </w:r>
      <w:r>
        <w:rPr>
          <w:lang w:eastAsia="en-GB"/>
        </w:rPr>
        <w:t xml:space="preserve">f there is a neighbour cell not indicated in the </w:t>
      </w:r>
      <w:proofErr w:type="spellStart"/>
      <w:r>
        <w:rPr>
          <w:i/>
          <w:szCs w:val="22"/>
          <w:lang w:eastAsia="zh-CN"/>
        </w:rPr>
        <w:t>mtch-NeighbourCell</w:t>
      </w:r>
      <w:proofErr w:type="spellEnd"/>
      <w:r>
        <w:rPr>
          <w:szCs w:val="22"/>
          <w:lang w:eastAsia="zh-CN"/>
        </w:rPr>
        <w:t>, the UE cannot know whether the service is broadcast in</w:t>
      </w:r>
      <w:r>
        <w:rPr>
          <w:lang w:eastAsia="en-GB"/>
        </w:rPr>
        <w:t xml:space="preserve"> the neighbouring cell. Then</w:t>
      </w:r>
      <w:r w:rsidRPr="000B48F8">
        <w:rPr>
          <w:szCs w:val="22"/>
          <w:lang w:eastAsia="zh-CN"/>
        </w:rPr>
        <w:t xml:space="preserve">, the UE </w:t>
      </w:r>
      <w:r>
        <w:rPr>
          <w:szCs w:val="22"/>
          <w:lang w:eastAsia="zh-CN"/>
        </w:rPr>
        <w:t xml:space="preserve">can </w:t>
      </w:r>
      <w:r w:rsidRPr="000B48F8">
        <w:rPr>
          <w:szCs w:val="22"/>
          <w:lang w:eastAsia="zh-CN"/>
        </w:rPr>
        <w:t>trigger to establish un</w:t>
      </w:r>
      <w:r>
        <w:rPr>
          <w:szCs w:val="22"/>
          <w:lang w:eastAsia="zh-CN"/>
        </w:rPr>
        <w:t>i</w:t>
      </w:r>
      <w:r w:rsidRPr="000B48F8">
        <w:rPr>
          <w:szCs w:val="22"/>
          <w:lang w:eastAsia="zh-CN"/>
        </w:rPr>
        <w:t xml:space="preserve">cast service via application </w:t>
      </w:r>
      <w:r>
        <w:rPr>
          <w:szCs w:val="22"/>
          <w:lang w:eastAsia="zh-CN"/>
        </w:rPr>
        <w:t xml:space="preserve">layer before moving to the neighbour cell not indicated in </w:t>
      </w:r>
      <w:proofErr w:type="spellStart"/>
      <w:r>
        <w:rPr>
          <w:i/>
          <w:szCs w:val="22"/>
          <w:lang w:eastAsia="zh-CN"/>
        </w:rPr>
        <w:t>mtch-NeighbourCell</w:t>
      </w:r>
      <w:proofErr w:type="spellEnd"/>
      <w:r>
        <w:rPr>
          <w:i/>
          <w:szCs w:val="22"/>
          <w:lang w:eastAsia="zh-CN"/>
        </w:rPr>
        <w:t>.</w:t>
      </w:r>
      <w:r w:rsidRPr="000B48F8">
        <w:rPr>
          <w:szCs w:val="22"/>
          <w:lang w:eastAsia="zh-CN"/>
        </w:rPr>
        <w:t xml:space="preserve"> This is</w:t>
      </w:r>
      <w:r>
        <w:rPr>
          <w:szCs w:val="22"/>
          <w:lang w:eastAsia="zh-CN"/>
        </w:rPr>
        <w:t xml:space="preserve"> a way to ensure the service continuity. However </w:t>
      </w:r>
      <w:proofErr w:type="gramStart"/>
      <w:r>
        <w:rPr>
          <w:szCs w:val="22"/>
          <w:lang w:eastAsia="zh-CN"/>
        </w:rPr>
        <w:t>this</w:t>
      </w:r>
      <w:r>
        <w:rPr>
          <w:i/>
          <w:szCs w:val="22"/>
          <w:lang w:eastAsia="zh-CN"/>
        </w:rPr>
        <w:t xml:space="preserve"> </w:t>
      </w:r>
      <w:r>
        <w:rPr>
          <w:szCs w:val="22"/>
          <w:lang w:eastAsia="zh-CN"/>
        </w:rPr>
        <w:t xml:space="preserve"> will</w:t>
      </w:r>
      <w:proofErr w:type="gramEnd"/>
      <w:r>
        <w:rPr>
          <w:szCs w:val="22"/>
          <w:lang w:eastAsia="zh-CN"/>
        </w:rPr>
        <w:t xml:space="preserve"> cause resource waste if the  </w:t>
      </w:r>
      <w:proofErr w:type="spellStart"/>
      <w:r>
        <w:rPr>
          <w:szCs w:val="22"/>
          <w:lang w:eastAsia="zh-CN"/>
        </w:rPr>
        <w:t>neighbor</w:t>
      </w:r>
      <w:proofErr w:type="spellEnd"/>
      <w:r>
        <w:rPr>
          <w:szCs w:val="22"/>
          <w:lang w:eastAsia="zh-CN"/>
        </w:rPr>
        <w:t xml:space="preserve"> cell is actually broadcasting the corresponding broadcast session, as at the same time the UE is receiving the same service via the unicast PDU session. </w:t>
      </w:r>
    </w:p>
    <w:p w14:paraId="53427074" w14:textId="5C1CBFEE" w:rsidR="00D72133" w:rsidRDefault="00454A16">
      <w:pPr>
        <w:spacing w:line="360" w:lineRule="auto"/>
        <w:rPr>
          <w:szCs w:val="22"/>
          <w:lang w:eastAsia="zh-CN"/>
        </w:rPr>
      </w:pPr>
      <w:r>
        <w:rPr>
          <w:szCs w:val="22"/>
          <w:lang w:eastAsia="zh-CN"/>
        </w:rPr>
        <w:t xml:space="preserve">Secondly, in this scenario, it is actually unclear how the UE can </w:t>
      </w:r>
      <w:proofErr w:type="spellStart"/>
      <w:r>
        <w:rPr>
          <w:szCs w:val="22"/>
          <w:lang w:eastAsia="zh-CN"/>
        </w:rPr>
        <w:t>regonize</w:t>
      </w:r>
      <w:proofErr w:type="spellEnd"/>
      <w:r>
        <w:rPr>
          <w:szCs w:val="22"/>
          <w:lang w:eastAsia="zh-CN"/>
        </w:rPr>
        <w:t xml:space="preserve"> this neighbour cell is providing the corresponding broadcast session and when to terminate the unicast PDU session to stop wasting the resources. For example, if the UE has already established unicast PDU session to receive the service, it is unclear whether the UE is still interested to the broadcast </w:t>
      </w:r>
      <w:proofErr w:type="spellStart"/>
      <w:r>
        <w:rPr>
          <w:szCs w:val="22"/>
          <w:lang w:eastAsia="zh-CN"/>
        </w:rPr>
        <w:t>servide</w:t>
      </w:r>
      <w:proofErr w:type="spellEnd"/>
      <w:r>
        <w:rPr>
          <w:szCs w:val="22"/>
          <w:lang w:eastAsia="zh-CN"/>
        </w:rPr>
        <w:t xml:space="preserve"> and acquire the MCCH according to the RRC procedure. This may need some discussion in RAN2 or other working groups. </w:t>
      </w:r>
    </w:p>
    <w:p w14:paraId="36E0FBB7" w14:textId="3445EF48" w:rsidR="00D72133" w:rsidRDefault="00454A16">
      <w:pPr>
        <w:spacing w:line="360" w:lineRule="auto"/>
        <w:rPr>
          <w:szCs w:val="22"/>
          <w:lang w:eastAsia="zh-CN"/>
        </w:rPr>
      </w:pPr>
      <w:r>
        <w:rPr>
          <w:szCs w:val="22"/>
          <w:lang w:eastAsia="zh-CN"/>
        </w:rPr>
        <w:t xml:space="preserve">Another possibility can be that, the UE may read SIB1/SIB20 of the neighbour cell not indicated in </w:t>
      </w:r>
      <w:proofErr w:type="spellStart"/>
      <w:r>
        <w:rPr>
          <w:i/>
          <w:szCs w:val="22"/>
          <w:lang w:eastAsia="zh-CN"/>
        </w:rPr>
        <w:t>mtch-NeighbourCell</w:t>
      </w:r>
      <w:proofErr w:type="spellEnd"/>
      <w:r>
        <w:rPr>
          <w:szCs w:val="22"/>
          <w:lang w:eastAsia="zh-CN"/>
        </w:rPr>
        <w:t xml:space="preserve"> in advance based on implementation to try to ensure service continuity. This would need additional UE requirements during cell change.</w:t>
      </w:r>
    </w:p>
    <w:p w14:paraId="61BA7EF9" w14:textId="14C3D21D" w:rsidR="00D72133" w:rsidRDefault="00454A16">
      <w:pPr>
        <w:spacing w:line="360" w:lineRule="auto"/>
        <w:rPr>
          <w:rFonts w:eastAsia="宋体"/>
          <w:szCs w:val="22"/>
          <w:lang w:eastAsia="zh-CN"/>
        </w:rPr>
      </w:pPr>
      <w:r>
        <w:rPr>
          <w:rFonts w:eastAsiaTheme="minorEastAsia"/>
          <w:lang w:eastAsia="zh-CN"/>
        </w:rPr>
        <w:t>Note that there was some discussion on this question in RAN3 and it was suggested that service continuity may also be ensured</w:t>
      </w:r>
      <w:r>
        <w:rPr>
          <w:rFonts w:eastAsia="宋体"/>
          <w:szCs w:val="22"/>
          <w:lang w:eastAsia="zh-CN"/>
        </w:rPr>
        <w:t xml:space="preserve"> based on the FSAI in SIB21. C</w:t>
      </w:r>
      <w:r>
        <w:rPr>
          <w:rFonts w:eastAsia="宋体" w:hint="eastAsia"/>
          <w:szCs w:val="22"/>
          <w:lang w:eastAsia="zh-CN"/>
        </w:rPr>
        <w:t>ell</w:t>
      </w:r>
      <w:r>
        <w:rPr>
          <w:rFonts w:eastAsia="宋体"/>
          <w:szCs w:val="22"/>
          <w:lang w:eastAsia="zh-CN"/>
        </w:rPr>
        <w:t xml:space="preserve"> </w:t>
      </w:r>
      <w:r>
        <w:rPr>
          <w:rFonts w:eastAsia="宋体" w:hint="eastAsia"/>
          <w:szCs w:val="22"/>
          <w:lang w:eastAsia="zh-CN"/>
        </w:rPr>
        <w:t>re-se</w:t>
      </w:r>
      <w:r>
        <w:rPr>
          <w:rFonts w:eastAsia="宋体"/>
          <w:szCs w:val="22"/>
          <w:lang w:eastAsia="zh-CN"/>
        </w:rPr>
        <w:t>lection based on the FSAI in SIB21 helps the UE to camp on the proper frequency, but it cannot guarantee the service continuity, since not all the cells on the frequency indicated in SIB 21 need to provide the corresponding broadcast service.</w:t>
      </w:r>
    </w:p>
    <w:p w14:paraId="4AA60C9E" w14:textId="77777777" w:rsidR="00D72133" w:rsidRDefault="00454A1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Question (2): </w:t>
      </w:r>
    </w:p>
    <w:p w14:paraId="5F3EF465" w14:textId="386FB0B8" w:rsidR="00D72133" w:rsidRDefault="00454A16">
      <w:pPr>
        <w:spacing w:line="360" w:lineRule="auto"/>
        <w:rPr>
          <w:szCs w:val="22"/>
          <w:lang w:eastAsia="zh-CN"/>
        </w:rPr>
      </w:pPr>
      <w:r>
        <w:rPr>
          <w:szCs w:val="22"/>
          <w:lang w:eastAsia="zh-CN"/>
        </w:rPr>
        <w:lastRenderedPageBreak/>
        <w:t>I</w:t>
      </w:r>
      <w:r>
        <w:rPr>
          <w:lang w:eastAsia="en-GB"/>
        </w:rPr>
        <w:t xml:space="preserve">f there is a neighbour cell not indicated in the </w:t>
      </w:r>
      <w:proofErr w:type="spellStart"/>
      <w:r>
        <w:rPr>
          <w:i/>
          <w:szCs w:val="22"/>
          <w:lang w:eastAsia="zh-CN"/>
        </w:rPr>
        <w:t>mtch-NeighbourCell</w:t>
      </w:r>
      <w:proofErr w:type="spellEnd"/>
      <w:r w:rsidRPr="000B48F8">
        <w:rPr>
          <w:szCs w:val="22"/>
          <w:lang w:eastAsia="zh-CN"/>
        </w:rPr>
        <w:t>, it is up to UE implementation to determine what to do</w:t>
      </w:r>
      <w:r>
        <w:rPr>
          <w:szCs w:val="22"/>
          <w:lang w:eastAsia="zh-CN"/>
        </w:rPr>
        <w:t xml:space="preserve"> to ensure the service continuity</w:t>
      </w:r>
      <w:r w:rsidRPr="000B48F8">
        <w:rPr>
          <w:szCs w:val="22"/>
          <w:lang w:eastAsia="zh-CN"/>
        </w:rPr>
        <w:t xml:space="preserve">, e.g. the UE may </w:t>
      </w:r>
      <w:r>
        <w:rPr>
          <w:szCs w:val="22"/>
          <w:lang w:eastAsia="zh-CN"/>
        </w:rPr>
        <w:t>trigger to establish unicast PDU session in application layer</w:t>
      </w:r>
      <w:r w:rsidRPr="000B48F8">
        <w:rPr>
          <w:szCs w:val="22"/>
          <w:lang w:eastAsia="zh-CN"/>
        </w:rPr>
        <w:t xml:space="preserve"> or may read SIB1/SIB20 </w:t>
      </w:r>
      <w:r>
        <w:rPr>
          <w:szCs w:val="22"/>
          <w:lang w:eastAsia="zh-CN"/>
        </w:rPr>
        <w:t>of neighbour cell in advance</w:t>
      </w:r>
      <w:r w:rsidRPr="000B48F8">
        <w:rPr>
          <w:szCs w:val="22"/>
          <w:lang w:eastAsia="zh-CN"/>
        </w:rPr>
        <w:t>.</w:t>
      </w:r>
    </w:p>
    <w:p w14:paraId="6E7A1239" w14:textId="77777777" w:rsidR="00D72133" w:rsidRDefault="00D72133">
      <w:pPr>
        <w:spacing w:line="360" w:lineRule="auto"/>
        <w:rPr>
          <w:rFonts w:eastAsiaTheme="minorEastAsia"/>
          <w:lang w:eastAsia="zh-CN"/>
        </w:rPr>
      </w:pPr>
    </w:p>
    <w:p w14:paraId="5C1A0612" w14:textId="77777777" w:rsidR="00D72133" w:rsidRDefault="00454A16">
      <w:pPr>
        <w:outlineLvl w:val="1"/>
        <w:rPr>
          <w:rFonts w:ascii="Arial" w:eastAsiaTheme="minorEastAsia" w:hAnsi="Arial" w:cs="Arial"/>
          <w:sz w:val="24"/>
          <w:lang w:eastAsia="zh-CN"/>
        </w:rPr>
      </w:pPr>
      <w:r>
        <w:rPr>
          <w:rFonts w:ascii="Arial" w:eastAsiaTheme="minorEastAsia" w:hAnsi="Arial" w:cs="Arial"/>
          <w:sz w:val="24"/>
          <w:lang w:eastAsia="zh-CN"/>
        </w:rPr>
        <w:t>For question (3):</w:t>
      </w:r>
    </w:p>
    <w:p w14:paraId="6D67D9FF" w14:textId="77777777" w:rsidR="00D72133" w:rsidRDefault="00454A16">
      <w:pPr>
        <w:rPr>
          <w:u w:val="single"/>
          <w:lang w:eastAsia="zh-CN"/>
        </w:rPr>
      </w:pPr>
      <w:r>
        <w:rPr>
          <w:u w:val="single"/>
          <w:lang w:eastAsia="zh-CN"/>
        </w:rPr>
        <w:t>(3) Is there any significant limitation from RRC point of view if the TMGI as received by the 5GC contains a PLMN/SNPN ID not broadcast in SIB1?</w:t>
      </w:r>
    </w:p>
    <w:p w14:paraId="4422F656" w14:textId="5C24726C" w:rsidR="00D72133" w:rsidRDefault="00454A16">
      <w:pPr>
        <w:spacing w:line="360" w:lineRule="auto"/>
        <w:rPr>
          <w:rFonts w:eastAsiaTheme="minorEastAsia"/>
          <w:lang w:eastAsia="zh-CN"/>
        </w:rPr>
      </w:pPr>
      <w:r>
        <w:rPr>
          <w:rFonts w:eastAsiaTheme="minorEastAsia"/>
          <w:lang w:eastAsia="zh-CN"/>
        </w:rPr>
        <w:t xml:space="preserve">From RRC point </w:t>
      </w:r>
      <w:r>
        <w:rPr>
          <w:rFonts w:eastAsiaTheme="minorEastAsia" w:hint="eastAsia"/>
          <w:lang w:eastAsia="zh-CN"/>
        </w:rPr>
        <w:t>of</w:t>
      </w:r>
      <w:r>
        <w:rPr>
          <w:rFonts w:eastAsiaTheme="minorEastAsia"/>
          <w:lang w:eastAsia="zh-CN"/>
        </w:rPr>
        <w:t xml:space="preserve"> view, the PLMN identity can be expressed as the </w:t>
      </w:r>
      <w:proofErr w:type="spellStart"/>
      <w:r>
        <w:rPr>
          <w:i/>
        </w:rPr>
        <w:t>explicitValue</w:t>
      </w:r>
      <w:proofErr w:type="spellEnd"/>
      <w:r>
        <w:rPr>
          <w:i/>
        </w:rPr>
        <w:t xml:space="preserve"> or </w:t>
      </w:r>
      <w:proofErr w:type="spellStart"/>
      <w:r>
        <w:rPr>
          <w:i/>
        </w:rPr>
        <w:t>plmn</w:t>
      </w:r>
      <w:proofErr w:type="spellEnd"/>
      <w:r>
        <w:rPr>
          <w:i/>
        </w:rPr>
        <w:t>-Index</w:t>
      </w:r>
      <w:r>
        <w:rPr>
          <w:rFonts w:eastAsiaTheme="minorEastAsia"/>
          <w:lang w:eastAsia="zh-CN"/>
        </w:rPr>
        <w:t xml:space="preserve"> </w:t>
      </w:r>
      <w:r>
        <w:t xml:space="preserve">which refers to the </w:t>
      </w:r>
      <w:proofErr w:type="spellStart"/>
      <w:r>
        <w:rPr>
          <w:rFonts w:eastAsia="宋体"/>
          <w:i/>
          <w:szCs w:val="22"/>
          <w:lang w:eastAsia="zh-CN"/>
        </w:rPr>
        <w:t>plmn-IdentityInfoList</w:t>
      </w:r>
      <w:proofErr w:type="spellEnd"/>
      <w:r>
        <w:rPr>
          <w:rFonts w:eastAsia="宋体"/>
          <w:szCs w:val="22"/>
          <w:lang w:eastAsia="zh-CN"/>
        </w:rPr>
        <w:t xml:space="preserve"> in </w:t>
      </w:r>
      <w:r>
        <w:t>SIB1</w:t>
      </w:r>
      <w:r>
        <w:rPr>
          <w:rFonts w:eastAsiaTheme="minorEastAsia"/>
          <w:lang w:eastAsia="zh-CN"/>
        </w:rPr>
        <w:t>. T</w:t>
      </w:r>
      <w:r>
        <w:rPr>
          <w:rFonts w:eastAsiaTheme="minorEastAsia" w:hint="eastAsia"/>
          <w:lang w:eastAsia="zh-CN"/>
        </w:rPr>
        <w:t>hus</w:t>
      </w:r>
      <w:r>
        <w:rPr>
          <w:rFonts w:eastAsiaTheme="minorEastAsia"/>
          <w:lang w:eastAsia="zh-CN"/>
        </w:rPr>
        <w:t xml:space="preserve">, if the received PLMN ID in TMGI is not included in SIB1, the </w:t>
      </w:r>
      <w:proofErr w:type="spellStart"/>
      <w:r>
        <w:rPr>
          <w:rFonts w:eastAsiaTheme="minorEastAsia"/>
          <w:lang w:eastAsia="zh-CN"/>
        </w:rPr>
        <w:t>gNB</w:t>
      </w:r>
      <w:proofErr w:type="spellEnd"/>
      <w:r>
        <w:rPr>
          <w:rFonts w:eastAsiaTheme="minorEastAsia"/>
          <w:lang w:eastAsia="zh-CN"/>
        </w:rPr>
        <w:t xml:space="preserve"> will signal it with </w:t>
      </w:r>
      <w:proofErr w:type="spellStart"/>
      <w:r>
        <w:rPr>
          <w:rFonts w:eastAsiaTheme="minorEastAsia"/>
          <w:i/>
          <w:iCs/>
          <w:lang w:eastAsia="zh-CN"/>
        </w:rPr>
        <w:t>explicitValue</w:t>
      </w:r>
      <w:proofErr w:type="spellEnd"/>
      <w:r>
        <w:rPr>
          <w:rFonts w:eastAsiaTheme="minorEastAsia"/>
          <w:i/>
          <w:iCs/>
          <w:lang w:eastAsia="zh-CN"/>
        </w:rPr>
        <w:t xml:space="preserve">. </w:t>
      </w:r>
    </w:p>
    <w:p w14:paraId="0C510DE6" w14:textId="5B491C72" w:rsidR="00D72133" w:rsidRDefault="00454A16">
      <w:pPr>
        <w:spacing w:line="360" w:lineRule="auto"/>
        <w:rPr>
          <w:rFonts w:eastAsiaTheme="minorEastAsia"/>
          <w:lang w:eastAsia="zh-CN"/>
        </w:rPr>
      </w:pPr>
      <w:r>
        <w:rPr>
          <w:rFonts w:eastAsiaTheme="minorEastAsia"/>
          <w:lang w:eastAsia="zh-CN"/>
        </w:rPr>
        <w:t xml:space="preserve">The current RRC specification has not supported SNPN for MBS. In the current TS 38.331 spec, the MBS session ID is coded as </w:t>
      </w:r>
      <w:r>
        <w:rPr>
          <w:rFonts w:eastAsiaTheme="minorEastAsia" w:hint="eastAsia"/>
          <w:lang w:eastAsia="zh-CN"/>
        </w:rPr>
        <w:t>TMGI</w:t>
      </w:r>
      <w:r>
        <w:rPr>
          <w:rFonts w:eastAsiaTheme="minorEastAsia"/>
          <w:lang w:eastAsia="zh-CN"/>
        </w:rPr>
        <w:t xml:space="preserve"> directly, which only includes PLMN ID and service ID. Thus, if the core network configures the MBS session ID with NID, the NID cannot be provided over </w:t>
      </w:r>
      <w:proofErr w:type="spellStart"/>
      <w:r>
        <w:rPr>
          <w:rFonts w:eastAsiaTheme="minorEastAsia"/>
          <w:lang w:eastAsia="zh-CN"/>
        </w:rPr>
        <w:t>Uu</w:t>
      </w:r>
      <w:proofErr w:type="spellEnd"/>
      <w:r>
        <w:rPr>
          <w:rFonts w:eastAsiaTheme="minorEastAsia"/>
          <w:lang w:eastAsia="zh-CN"/>
        </w:rPr>
        <w:t xml:space="preserve"> interface.</w:t>
      </w:r>
    </w:p>
    <w:p w14:paraId="1C8EDD11" w14:textId="501EEBD3" w:rsidR="00D72133" w:rsidRDefault="00454A16">
      <w:pPr>
        <w:spacing w:line="360" w:lineRule="auto"/>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RAN3-117bis-e meeting</w:t>
      </w:r>
      <w:r>
        <w:rPr>
          <w:rFonts w:eastAsiaTheme="minorEastAsia" w:hint="eastAsia"/>
          <w:lang w:eastAsia="zh-CN"/>
        </w:rPr>
        <w:t>,</w:t>
      </w:r>
      <w:r>
        <w:rPr>
          <w:rFonts w:eastAsiaTheme="minorEastAsia"/>
          <w:lang w:eastAsia="zh-CN"/>
        </w:rPr>
        <w:t xml:space="preserve"> there was contribution proposing to use the </w:t>
      </w:r>
      <w:r>
        <w:rPr>
          <w:rFonts w:eastAsiaTheme="minorEastAsia"/>
          <w:i/>
          <w:lang w:eastAsia="zh-CN"/>
        </w:rPr>
        <w:t>PLMN-Index</w:t>
      </w:r>
      <w:r>
        <w:rPr>
          <w:rFonts w:eastAsiaTheme="minorEastAsia"/>
          <w:lang w:eastAsia="zh-CN"/>
        </w:rPr>
        <w:t xml:space="preserve"> in TMGI to indicate the </w:t>
      </w:r>
      <w:proofErr w:type="gramStart"/>
      <w:r>
        <w:rPr>
          <w:rFonts w:eastAsiaTheme="minorEastAsia"/>
          <w:lang w:eastAsia="zh-CN"/>
        </w:rPr>
        <w:t>NID(</w:t>
      </w:r>
      <w:proofErr w:type="gramEnd"/>
      <w:r>
        <w:rPr>
          <w:rFonts w:eastAsiaTheme="minorEastAsia"/>
          <w:lang w:eastAsia="zh-CN"/>
        </w:rPr>
        <w:t xml:space="preserve">which refers to the </w:t>
      </w:r>
      <w:r>
        <w:rPr>
          <w:rFonts w:eastAsiaTheme="minorEastAsia" w:hint="eastAsia"/>
          <w:lang w:eastAsia="zh-CN"/>
        </w:rPr>
        <w:t>SNPN</w:t>
      </w:r>
      <w:r>
        <w:rPr>
          <w:rFonts w:eastAsiaTheme="minorEastAsia"/>
          <w:lang w:eastAsia="zh-CN"/>
        </w:rPr>
        <w:t xml:space="preserve"> </w:t>
      </w:r>
      <w:r>
        <w:rPr>
          <w:rFonts w:eastAsiaTheme="minorEastAsia" w:hint="eastAsia"/>
          <w:lang w:eastAsia="zh-CN"/>
        </w:rPr>
        <w:t>ID</w:t>
      </w:r>
      <w:r>
        <w:rPr>
          <w:rFonts w:eastAsiaTheme="minorEastAsia"/>
          <w:lang w:eastAsia="zh-CN"/>
        </w:rPr>
        <w:t xml:space="preserve"> </w:t>
      </w:r>
      <w:r>
        <w:rPr>
          <w:rFonts w:eastAsiaTheme="minorEastAsia" w:hint="eastAsia"/>
          <w:lang w:eastAsia="zh-CN"/>
        </w:rPr>
        <w:t>list</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SIB1)</w:t>
      </w:r>
      <w:r>
        <w:rPr>
          <w:rFonts w:eastAsiaTheme="minorEastAsia"/>
          <w:lang w:eastAsia="zh-CN"/>
        </w:rPr>
        <w:t xml:space="preserve">. </w:t>
      </w:r>
      <w:r>
        <w:rPr>
          <w:rFonts w:eastAsia="宋体"/>
          <w:szCs w:val="22"/>
          <w:lang w:eastAsia="zh-CN"/>
        </w:rPr>
        <w:t xml:space="preserve">First, it is unclear in current RRC specification whether the </w:t>
      </w:r>
      <w:proofErr w:type="spellStart"/>
      <w:r>
        <w:rPr>
          <w:rFonts w:eastAsia="宋体"/>
          <w:i/>
          <w:szCs w:val="22"/>
          <w:lang w:eastAsia="zh-CN"/>
        </w:rPr>
        <w:t>plmn</w:t>
      </w:r>
      <w:proofErr w:type="spellEnd"/>
      <w:r>
        <w:rPr>
          <w:rFonts w:eastAsia="宋体"/>
          <w:i/>
          <w:szCs w:val="22"/>
          <w:lang w:eastAsia="zh-CN"/>
        </w:rPr>
        <w:t>-Index</w:t>
      </w:r>
      <w:r>
        <w:rPr>
          <w:rFonts w:eastAsia="宋体"/>
          <w:szCs w:val="22"/>
          <w:lang w:eastAsia="zh-CN"/>
        </w:rPr>
        <w:t xml:space="preserve"> in </w:t>
      </w:r>
      <w:r>
        <w:rPr>
          <w:rFonts w:eastAsia="宋体"/>
          <w:i/>
          <w:szCs w:val="22"/>
          <w:lang w:eastAsia="zh-CN"/>
        </w:rPr>
        <w:t xml:space="preserve">TMGI </w:t>
      </w:r>
      <w:r w:rsidRPr="000B48F8">
        <w:rPr>
          <w:rFonts w:eastAsia="宋体"/>
          <w:szCs w:val="22"/>
          <w:lang w:eastAsia="zh-CN"/>
        </w:rPr>
        <w:t xml:space="preserve">can be </w:t>
      </w:r>
      <w:r>
        <w:rPr>
          <w:rFonts w:eastAsia="宋体"/>
          <w:szCs w:val="22"/>
          <w:lang w:eastAsia="zh-CN"/>
        </w:rPr>
        <w:t xml:space="preserve">referred to both </w:t>
      </w:r>
      <w:proofErr w:type="spellStart"/>
      <w:r>
        <w:rPr>
          <w:rFonts w:eastAsia="宋体"/>
          <w:i/>
          <w:szCs w:val="22"/>
          <w:lang w:eastAsia="zh-CN"/>
        </w:rPr>
        <w:t>plmn-IdentityInfoList</w:t>
      </w:r>
      <w:proofErr w:type="spellEnd"/>
      <w:r>
        <w:rPr>
          <w:rFonts w:eastAsia="宋体"/>
          <w:szCs w:val="22"/>
          <w:lang w:eastAsia="zh-CN"/>
        </w:rPr>
        <w:t xml:space="preserve"> and </w:t>
      </w:r>
      <w:proofErr w:type="spellStart"/>
      <w:r>
        <w:rPr>
          <w:rFonts w:eastAsia="宋体"/>
          <w:i/>
          <w:szCs w:val="22"/>
          <w:lang w:eastAsia="zh-CN"/>
        </w:rPr>
        <w:t>npn-IdentityInfoList</w:t>
      </w:r>
      <w:proofErr w:type="spellEnd"/>
      <w:r>
        <w:rPr>
          <w:rFonts w:eastAsia="宋体"/>
          <w:szCs w:val="22"/>
          <w:lang w:eastAsia="zh-CN"/>
        </w:rPr>
        <w:t xml:space="preserve"> fields included in </w:t>
      </w:r>
      <w:r>
        <w:rPr>
          <w:rFonts w:eastAsia="宋体"/>
          <w:i/>
          <w:szCs w:val="22"/>
          <w:lang w:eastAsia="zh-CN"/>
        </w:rPr>
        <w:t>SIB1</w:t>
      </w:r>
      <w:r>
        <w:rPr>
          <w:rFonts w:eastAsia="宋体"/>
          <w:szCs w:val="22"/>
          <w:lang w:eastAsia="zh-CN"/>
        </w:rPr>
        <w:t>, which has not been considered by RAN2 in Rel-17.</w:t>
      </w:r>
    </w:p>
    <w:p w14:paraId="2FC3849B" w14:textId="1AF3E78F" w:rsidR="00D72133" w:rsidRDefault="00454A16">
      <w:pPr>
        <w:spacing w:line="360" w:lineRule="auto"/>
        <w:rPr>
          <w:rFonts w:eastAsia="等线"/>
          <w:szCs w:val="22"/>
          <w:lang w:eastAsia="zh-CN"/>
        </w:rPr>
      </w:pPr>
      <w:r>
        <w:rPr>
          <w:rFonts w:eastAsiaTheme="minorEastAsia"/>
          <w:szCs w:val="22"/>
          <w:lang w:eastAsia="zh-CN"/>
        </w:rPr>
        <w:t xml:space="preserve">Even if we assumed that </w:t>
      </w:r>
      <w:proofErr w:type="spellStart"/>
      <w:r>
        <w:rPr>
          <w:rFonts w:eastAsia="宋体"/>
          <w:i/>
          <w:szCs w:val="22"/>
          <w:lang w:eastAsia="zh-CN"/>
        </w:rPr>
        <w:t>plmn</w:t>
      </w:r>
      <w:proofErr w:type="spellEnd"/>
      <w:r>
        <w:rPr>
          <w:rFonts w:eastAsia="宋体"/>
          <w:i/>
          <w:szCs w:val="22"/>
          <w:lang w:eastAsia="zh-CN"/>
        </w:rPr>
        <w:t>-Index</w:t>
      </w:r>
      <w:r>
        <w:rPr>
          <w:rFonts w:eastAsia="宋体"/>
          <w:szCs w:val="22"/>
          <w:lang w:eastAsia="zh-CN"/>
        </w:rPr>
        <w:t xml:space="preserve"> in </w:t>
      </w:r>
      <w:r>
        <w:rPr>
          <w:rFonts w:eastAsia="宋体"/>
          <w:i/>
          <w:szCs w:val="22"/>
          <w:lang w:eastAsia="zh-CN"/>
        </w:rPr>
        <w:t>TMGI</w:t>
      </w:r>
      <w:r>
        <w:rPr>
          <w:rFonts w:eastAsia="宋体"/>
          <w:szCs w:val="22"/>
          <w:lang w:eastAsia="zh-CN"/>
        </w:rPr>
        <w:t xml:space="preserve"> can be interpreted as the index of the PLMN or SNPN across the</w:t>
      </w:r>
      <w:r>
        <w:rPr>
          <w:rFonts w:eastAsia="宋体"/>
          <w:i/>
          <w:szCs w:val="22"/>
          <w:lang w:eastAsia="zh-CN"/>
        </w:rPr>
        <w:t xml:space="preserve"> </w:t>
      </w:r>
      <w:proofErr w:type="spellStart"/>
      <w:r>
        <w:rPr>
          <w:rFonts w:eastAsia="宋体"/>
          <w:i/>
          <w:szCs w:val="22"/>
          <w:lang w:eastAsia="zh-CN"/>
        </w:rPr>
        <w:t>plmn-IdentityInfoList</w:t>
      </w:r>
      <w:proofErr w:type="spellEnd"/>
      <w:r>
        <w:rPr>
          <w:rFonts w:eastAsia="宋体"/>
          <w:szCs w:val="22"/>
          <w:lang w:eastAsia="zh-CN"/>
        </w:rPr>
        <w:t xml:space="preserve"> and </w:t>
      </w:r>
      <w:proofErr w:type="spellStart"/>
      <w:r>
        <w:rPr>
          <w:rFonts w:eastAsia="宋体"/>
          <w:i/>
          <w:szCs w:val="22"/>
          <w:lang w:eastAsia="zh-CN"/>
        </w:rPr>
        <w:t>npn-IdentityInfoList</w:t>
      </w:r>
      <w:proofErr w:type="spellEnd"/>
      <w:r>
        <w:rPr>
          <w:rFonts w:eastAsia="宋体"/>
          <w:szCs w:val="22"/>
          <w:lang w:eastAsia="zh-CN"/>
        </w:rPr>
        <w:t xml:space="preserve"> fields included in </w:t>
      </w:r>
      <w:r>
        <w:rPr>
          <w:rFonts w:eastAsia="宋体"/>
          <w:i/>
          <w:szCs w:val="22"/>
          <w:lang w:eastAsia="zh-CN"/>
        </w:rPr>
        <w:t>SIB1</w:t>
      </w:r>
      <w:r>
        <w:rPr>
          <w:rFonts w:eastAsia="宋体"/>
          <w:szCs w:val="22"/>
          <w:lang w:eastAsia="zh-CN"/>
        </w:rPr>
        <w:t>, it still would not work for MBS with SNPN at the moment.</w:t>
      </w:r>
      <w:r>
        <w:rPr>
          <w:rFonts w:eastAsiaTheme="minorEastAsia"/>
          <w:szCs w:val="22"/>
          <w:lang w:eastAsia="zh-CN"/>
        </w:rPr>
        <w:t xml:space="preserve"> In the RAN2#119 meeting, there was agreement </w:t>
      </w:r>
      <w:r>
        <w:rPr>
          <w:rFonts w:eastAsiaTheme="minorEastAsia" w:hint="eastAsia"/>
          <w:szCs w:val="22"/>
          <w:lang w:eastAsia="zh-CN"/>
        </w:rPr>
        <w:t xml:space="preserve">that </w:t>
      </w:r>
      <w:r>
        <w:rPr>
          <w:rFonts w:eastAsiaTheme="minorEastAsia"/>
          <w:szCs w:val="22"/>
          <w:lang w:eastAsia="zh-CN"/>
        </w:rPr>
        <w:t>“</w:t>
      </w:r>
      <w:r>
        <w:rPr>
          <w:rFonts w:eastAsia="等线"/>
          <w:szCs w:val="22"/>
          <w:u w:val="single"/>
          <w:lang w:eastAsia="zh-CN"/>
        </w:rPr>
        <w:t xml:space="preserve">When UE reports </w:t>
      </w:r>
      <w:proofErr w:type="spellStart"/>
      <w:r>
        <w:rPr>
          <w:rFonts w:eastAsia="等线"/>
          <w:szCs w:val="22"/>
          <w:u w:val="single"/>
          <w:lang w:eastAsia="zh-CN"/>
        </w:rPr>
        <w:t>plmn</w:t>
      </w:r>
      <w:proofErr w:type="spellEnd"/>
      <w:r>
        <w:rPr>
          <w:rFonts w:eastAsia="等线"/>
          <w:szCs w:val="22"/>
          <w:u w:val="single"/>
          <w:lang w:eastAsia="zh-CN"/>
        </w:rPr>
        <w:t xml:space="preserve">-index in the MII, the source </w:t>
      </w:r>
      <w:proofErr w:type="spellStart"/>
      <w:r>
        <w:rPr>
          <w:rFonts w:eastAsia="等线"/>
          <w:szCs w:val="22"/>
          <w:u w:val="single"/>
          <w:lang w:eastAsia="zh-CN"/>
        </w:rPr>
        <w:t>gNB</w:t>
      </w:r>
      <w:proofErr w:type="spellEnd"/>
      <w:r>
        <w:rPr>
          <w:rFonts w:eastAsia="等线"/>
          <w:szCs w:val="22"/>
          <w:u w:val="single"/>
          <w:lang w:eastAsia="zh-CN"/>
        </w:rPr>
        <w:t xml:space="preserve"> decodes the MII, translates the </w:t>
      </w:r>
      <w:proofErr w:type="spellStart"/>
      <w:r>
        <w:rPr>
          <w:rFonts w:eastAsia="等线"/>
          <w:szCs w:val="22"/>
          <w:u w:val="single"/>
          <w:lang w:eastAsia="zh-CN"/>
        </w:rPr>
        <w:t>plmn</w:t>
      </w:r>
      <w:proofErr w:type="spellEnd"/>
      <w:r>
        <w:rPr>
          <w:rFonts w:eastAsia="等线"/>
          <w:szCs w:val="22"/>
          <w:u w:val="single"/>
          <w:lang w:eastAsia="zh-CN"/>
        </w:rPr>
        <w:t xml:space="preserve">-index to explicit PLMN ID and replaces the </w:t>
      </w:r>
      <w:proofErr w:type="spellStart"/>
      <w:r>
        <w:rPr>
          <w:rFonts w:eastAsia="等线"/>
          <w:szCs w:val="22"/>
          <w:u w:val="single"/>
          <w:lang w:eastAsia="zh-CN"/>
        </w:rPr>
        <w:t>plmn</w:t>
      </w:r>
      <w:proofErr w:type="spellEnd"/>
      <w:r>
        <w:rPr>
          <w:rFonts w:eastAsia="等线"/>
          <w:szCs w:val="22"/>
          <w:u w:val="single"/>
          <w:lang w:eastAsia="zh-CN"/>
        </w:rPr>
        <w:t xml:space="preserve">-index with the explicit PLMN ID when sending MII to target </w:t>
      </w:r>
      <w:proofErr w:type="spellStart"/>
      <w:r>
        <w:rPr>
          <w:rFonts w:eastAsia="等线"/>
          <w:szCs w:val="22"/>
          <w:u w:val="single"/>
          <w:lang w:eastAsia="zh-CN"/>
        </w:rPr>
        <w:t>gNB</w:t>
      </w:r>
      <w:proofErr w:type="spellEnd"/>
      <w:r>
        <w:rPr>
          <w:rFonts w:eastAsia="等线"/>
          <w:szCs w:val="22"/>
          <w:u w:val="single"/>
          <w:lang w:eastAsia="zh-CN"/>
        </w:rPr>
        <w:t>.</w:t>
      </w:r>
      <w:r>
        <w:rPr>
          <w:rFonts w:eastAsiaTheme="minorEastAsia"/>
          <w:szCs w:val="22"/>
          <w:lang w:eastAsia="zh-CN"/>
        </w:rPr>
        <w:t xml:space="preserve">”. Based on this, </w:t>
      </w:r>
      <w:r>
        <w:rPr>
          <w:rFonts w:eastAsiaTheme="minorEastAsia"/>
          <w:i/>
          <w:szCs w:val="22"/>
          <w:lang w:eastAsia="zh-CN"/>
        </w:rPr>
        <w:t xml:space="preserve">TMGI </w:t>
      </w:r>
      <w:r>
        <w:rPr>
          <w:rFonts w:eastAsiaTheme="minorEastAsia"/>
          <w:szCs w:val="22"/>
          <w:lang w:eastAsia="zh-CN"/>
        </w:rPr>
        <w:t xml:space="preserve">in </w:t>
      </w:r>
      <w:r>
        <w:rPr>
          <w:rFonts w:eastAsiaTheme="minorEastAsia" w:hint="eastAsia"/>
          <w:szCs w:val="22"/>
          <w:lang w:eastAsia="zh-CN"/>
        </w:rPr>
        <w:t>MII</w:t>
      </w:r>
      <w:r>
        <w:rPr>
          <w:rFonts w:eastAsiaTheme="minorEastAsia"/>
          <w:szCs w:val="22"/>
          <w:lang w:eastAsia="zh-CN"/>
        </w:rPr>
        <w:t xml:space="preserve"> </w:t>
      </w:r>
      <w:r>
        <w:rPr>
          <w:rFonts w:eastAsiaTheme="minorEastAsia" w:hint="eastAsia"/>
          <w:szCs w:val="22"/>
          <w:lang w:eastAsia="zh-CN"/>
        </w:rPr>
        <w:t>message</w:t>
      </w:r>
      <w:r>
        <w:rPr>
          <w:rFonts w:eastAsiaTheme="minorEastAsia"/>
          <w:szCs w:val="22"/>
          <w:lang w:eastAsia="zh-CN"/>
        </w:rPr>
        <w:t xml:space="preserve"> </w:t>
      </w:r>
      <w:r>
        <w:rPr>
          <w:rFonts w:eastAsiaTheme="minorEastAsia" w:hint="eastAsia"/>
          <w:szCs w:val="22"/>
          <w:lang w:eastAsia="zh-CN"/>
        </w:rPr>
        <w:t>will</w:t>
      </w:r>
      <w:r>
        <w:rPr>
          <w:rFonts w:eastAsiaTheme="minorEastAsia"/>
          <w:szCs w:val="22"/>
          <w:lang w:eastAsia="zh-CN"/>
        </w:rPr>
        <w:t xml:space="preserve"> </w:t>
      </w:r>
      <w:r>
        <w:rPr>
          <w:rFonts w:eastAsiaTheme="minorEastAsia" w:hint="eastAsia"/>
          <w:szCs w:val="22"/>
          <w:lang w:eastAsia="zh-CN"/>
        </w:rPr>
        <w:t>b</w:t>
      </w:r>
      <w:r>
        <w:rPr>
          <w:rFonts w:eastAsiaTheme="minorEastAsia"/>
          <w:szCs w:val="22"/>
          <w:lang w:eastAsia="zh-CN"/>
        </w:rPr>
        <w:t xml:space="preserve">e sent to target </w:t>
      </w:r>
      <w:proofErr w:type="spellStart"/>
      <w:r>
        <w:rPr>
          <w:rFonts w:eastAsiaTheme="minorEastAsia"/>
          <w:szCs w:val="22"/>
          <w:lang w:eastAsia="zh-CN"/>
        </w:rPr>
        <w:t>gNB</w:t>
      </w:r>
      <w:proofErr w:type="spellEnd"/>
      <w:r>
        <w:rPr>
          <w:rFonts w:eastAsiaTheme="minorEastAsia"/>
          <w:szCs w:val="22"/>
          <w:lang w:eastAsia="zh-CN"/>
        </w:rPr>
        <w:t xml:space="preserve"> using </w:t>
      </w:r>
      <w:r>
        <w:rPr>
          <w:rFonts w:eastAsia="等线"/>
          <w:szCs w:val="22"/>
          <w:lang w:eastAsia="zh-CN"/>
        </w:rPr>
        <w:t xml:space="preserve">explicit PLMN ID, which allows to avoid the misunderstanding by the target </w:t>
      </w:r>
      <w:proofErr w:type="spellStart"/>
      <w:r>
        <w:rPr>
          <w:rFonts w:eastAsia="等线"/>
          <w:szCs w:val="22"/>
          <w:lang w:eastAsia="zh-CN"/>
        </w:rPr>
        <w:t>g</w:t>
      </w:r>
      <w:r>
        <w:rPr>
          <w:rFonts w:eastAsia="等线" w:hint="eastAsia"/>
          <w:szCs w:val="22"/>
          <w:lang w:eastAsia="zh-CN"/>
        </w:rPr>
        <w:t>NB</w:t>
      </w:r>
      <w:proofErr w:type="spellEnd"/>
      <w:r>
        <w:rPr>
          <w:rFonts w:eastAsia="等线"/>
          <w:szCs w:val="22"/>
          <w:lang w:eastAsia="zh-CN"/>
        </w:rPr>
        <w:t xml:space="preserve"> which does not know the contents of </w:t>
      </w:r>
      <w:r>
        <w:rPr>
          <w:rFonts w:eastAsia="等线" w:hint="eastAsia"/>
          <w:szCs w:val="22"/>
          <w:lang w:eastAsia="zh-CN"/>
        </w:rPr>
        <w:t>SIB</w:t>
      </w:r>
      <w:r>
        <w:rPr>
          <w:rFonts w:eastAsia="等线"/>
          <w:szCs w:val="22"/>
          <w:lang w:eastAsia="zh-CN"/>
        </w:rPr>
        <w:t xml:space="preserve">1 of the </w:t>
      </w:r>
      <w:r>
        <w:rPr>
          <w:rFonts w:eastAsia="等线" w:hint="eastAsia"/>
          <w:szCs w:val="22"/>
          <w:lang w:eastAsia="zh-CN"/>
        </w:rPr>
        <w:t>source</w:t>
      </w:r>
      <w:r>
        <w:rPr>
          <w:rFonts w:eastAsia="等线"/>
          <w:szCs w:val="22"/>
          <w:lang w:eastAsia="zh-CN"/>
        </w:rPr>
        <w:t xml:space="preserve"> </w:t>
      </w:r>
      <w:proofErr w:type="spellStart"/>
      <w:r>
        <w:rPr>
          <w:rFonts w:eastAsia="等线" w:hint="eastAsia"/>
          <w:szCs w:val="22"/>
          <w:lang w:eastAsia="zh-CN"/>
        </w:rPr>
        <w:t>gNB</w:t>
      </w:r>
      <w:proofErr w:type="spellEnd"/>
      <w:r>
        <w:rPr>
          <w:rFonts w:eastAsia="等线" w:hint="eastAsia"/>
          <w:szCs w:val="22"/>
          <w:lang w:eastAsia="zh-CN"/>
        </w:rPr>
        <w:t>.</w:t>
      </w:r>
      <w:r>
        <w:rPr>
          <w:rFonts w:eastAsia="等线"/>
          <w:szCs w:val="22"/>
          <w:lang w:eastAsia="zh-CN"/>
        </w:rPr>
        <w:t xml:space="preserve"> Then, the NID cannot be signalled when translating the </w:t>
      </w:r>
      <w:proofErr w:type="spellStart"/>
      <w:r>
        <w:rPr>
          <w:rFonts w:eastAsia="等线"/>
          <w:szCs w:val="22"/>
          <w:lang w:eastAsia="zh-CN"/>
        </w:rPr>
        <w:t>plmn</w:t>
      </w:r>
      <w:proofErr w:type="spellEnd"/>
      <w:r>
        <w:rPr>
          <w:rFonts w:eastAsia="等线"/>
          <w:szCs w:val="22"/>
          <w:lang w:eastAsia="zh-CN"/>
        </w:rPr>
        <w:t xml:space="preserve">-index to explicit PLMN ID, and the target </w:t>
      </w:r>
      <w:proofErr w:type="spellStart"/>
      <w:r>
        <w:rPr>
          <w:rFonts w:eastAsia="等线"/>
          <w:szCs w:val="22"/>
          <w:lang w:eastAsia="zh-CN"/>
        </w:rPr>
        <w:t>gNB</w:t>
      </w:r>
      <w:proofErr w:type="spellEnd"/>
      <w:r>
        <w:rPr>
          <w:rFonts w:eastAsia="等线"/>
          <w:szCs w:val="22"/>
          <w:lang w:eastAsia="zh-CN"/>
        </w:rPr>
        <w:t xml:space="preserve"> will be confused for the TMGI (with only PLMN ID without NID) included in MII received from source </w:t>
      </w:r>
      <w:proofErr w:type="spellStart"/>
      <w:r>
        <w:rPr>
          <w:rFonts w:eastAsia="等线"/>
          <w:szCs w:val="22"/>
          <w:lang w:eastAsia="zh-CN"/>
        </w:rPr>
        <w:t>gNB</w:t>
      </w:r>
      <w:proofErr w:type="spellEnd"/>
      <w:r>
        <w:rPr>
          <w:rFonts w:eastAsia="等线"/>
          <w:szCs w:val="22"/>
          <w:lang w:eastAsia="zh-CN"/>
        </w:rPr>
        <w:t>.</w:t>
      </w:r>
    </w:p>
    <w:p w14:paraId="7AC30752" w14:textId="77777777" w:rsidR="00D72133" w:rsidRDefault="00454A16">
      <w:pPr>
        <w:spacing w:line="360" w:lineRule="auto"/>
        <w:rPr>
          <w:rFonts w:eastAsia="等线"/>
          <w:szCs w:val="22"/>
          <w:lang w:eastAsia="zh-CN"/>
        </w:rPr>
      </w:pPr>
      <w:r>
        <w:rPr>
          <w:rFonts w:eastAsia="等线"/>
          <w:szCs w:val="22"/>
          <w:lang w:eastAsia="zh-CN"/>
        </w:rPr>
        <w:t xml:space="preserve">Thus, </w:t>
      </w:r>
      <w:r>
        <w:rPr>
          <w:rFonts w:eastAsia="等线" w:hint="eastAsia"/>
          <w:szCs w:val="22"/>
          <w:lang w:eastAsia="zh-CN"/>
        </w:rPr>
        <w:t>SNPN</w:t>
      </w:r>
      <w:r>
        <w:rPr>
          <w:rFonts w:eastAsia="等线"/>
          <w:szCs w:val="22"/>
          <w:lang w:eastAsia="zh-CN"/>
        </w:rPr>
        <w:t xml:space="preserve"> </w:t>
      </w:r>
      <w:r>
        <w:rPr>
          <w:rFonts w:eastAsia="等线" w:hint="eastAsia"/>
          <w:szCs w:val="22"/>
          <w:lang w:eastAsia="zh-CN"/>
        </w:rPr>
        <w:t>c</w:t>
      </w:r>
      <w:r>
        <w:rPr>
          <w:rFonts w:eastAsia="等线"/>
          <w:szCs w:val="22"/>
          <w:lang w:eastAsia="zh-CN"/>
        </w:rPr>
        <w:t>annot work for R17 MB</w:t>
      </w:r>
      <w:r>
        <w:rPr>
          <w:rFonts w:eastAsia="等线" w:hint="eastAsia"/>
          <w:szCs w:val="22"/>
          <w:lang w:eastAsia="zh-CN"/>
        </w:rPr>
        <w:t>S</w:t>
      </w:r>
      <w:r>
        <w:rPr>
          <w:rFonts w:eastAsia="等线"/>
          <w:szCs w:val="22"/>
          <w:lang w:eastAsia="zh-CN"/>
        </w:rPr>
        <w:t xml:space="preserve"> </w:t>
      </w:r>
      <w:r>
        <w:rPr>
          <w:rFonts w:eastAsia="等线" w:hint="eastAsia"/>
          <w:szCs w:val="22"/>
          <w:lang w:eastAsia="zh-CN"/>
        </w:rPr>
        <w:t>based on</w:t>
      </w:r>
      <w:r>
        <w:rPr>
          <w:rFonts w:eastAsia="等线"/>
          <w:szCs w:val="22"/>
          <w:lang w:eastAsia="zh-CN"/>
        </w:rPr>
        <w:t xml:space="preserve"> </w:t>
      </w:r>
      <w:r>
        <w:rPr>
          <w:rFonts w:eastAsia="等线" w:hint="eastAsia"/>
          <w:szCs w:val="22"/>
          <w:lang w:eastAsia="zh-CN"/>
        </w:rPr>
        <w:t>current</w:t>
      </w:r>
      <w:r>
        <w:rPr>
          <w:rFonts w:eastAsia="等线"/>
          <w:szCs w:val="22"/>
          <w:lang w:eastAsia="zh-CN"/>
        </w:rPr>
        <w:t xml:space="preserve"> RRC specification regardless of whether the NID is included in SIB1.</w:t>
      </w:r>
    </w:p>
    <w:p w14:paraId="756781FB" w14:textId="77777777" w:rsidR="00D72133" w:rsidRDefault="00454A1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Question (3): </w:t>
      </w:r>
    </w:p>
    <w:p w14:paraId="1EF2688E" w14:textId="4939AEE9" w:rsidR="00D72133" w:rsidRDefault="00454A16">
      <w:pPr>
        <w:spacing w:before="120" w:line="360" w:lineRule="auto"/>
        <w:rPr>
          <w:rFonts w:eastAsiaTheme="minorEastAsia"/>
          <w:b/>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can signal the explicit PLMN ID in TMGI using </w:t>
      </w:r>
      <w:proofErr w:type="spellStart"/>
      <w:r>
        <w:rPr>
          <w:rFonts w:eastAsiaTheme="minorEastAsia"/>
          <w:i/>
          <w:iCs/>
          <w:lang w:eastAsia="zh-CN"/>
        </w:rPr>
        <w:t>explicitValue</w:t>
      </w:r>
      <w:proofErr w:type="spellEnd"/>
      <w:r>
        <w:t xml:space="preserve">, </w:t>
      </w:r>
      <w:r>
        <w:rPr>
          <w:rFonts w:eastAsiaTheme="minorEastAsia"/>
          <w:lang w:eastAsia="zh-CN"/>
        </w:rPr>
        <w:t>if the received PLMN ID in TMGI is not included in SIB1. MBS cannot work in S</w:t>
      </w:r>
      <w:r>
        <w:rPr>
          <w:rFonts w:eastAsiaTheme="minorEastAsia" w:hint="eastAsia"/>
          <w:lang w:eastAsia="zh-CN"/>
        </w:rPr>
        <w:t>NPN</w:t>
      </w:r>
      <w:r>
        <w:rPr>
          <w:rFonts w:eastAsiaTheme="minorEastAsia"/>
          <w:lang w:eastAsia="zh-CN"/>
        </w:rPr>
        <w:t xml:space="preserve"> </w:t>
      </w:r>
      <w:r>
        <w:rPr>
          <w:rFonts w:eastAsiaTheme="minorEastAsia" w:hint="eastAsia"/>
          <w:lang w:eastAsia="zh-CN"/>
        </w:rPr>
        <w:t>scen</w:t>
      </w:r>
      <w:r>
        <w:rPr>
          <w:rFonts w:eastAsiaTheme="minorEastAsia"/>
          <w:lang w:eastAsia="zh-CN"/>
        </w:rPr>
        <w:t>a</w:t>
      </w:r>
      <w:r>
        <w:rPr>
          <w:rFonts w:eastAsiaTheme="minorEastAsia" w:hint="eastAsia"/>
          <w:lang w:eastAsia="zh-CN"/>
        </w:rPr>
        <w:t>ri</w:t>
      </w:r>
      <w:r>
        <w:rPr>
          <w:rFonts w:eastAsiaTheme="minorEastAsia"/>
          <w:lang w:eastAsia="zh-CN"/>
        </w:rPr>
        <w:t>o based on current RRC specification, regardless of whether the NID is included in SIB1 or not.</w:t>
      </w:r>
    </w:p>
    <w:p w14:paraId="54A1D87D" w14:textId="77777777" w:rsidR="00D72133" w:rsidRDefault="00454A16">
      <w:pPr>
        <w:pStyle w:val="1"/>
        <w:rPr>
          <w:rFonts w:eastAsia="宋体"/>
          <w:lang w:eastAsia="zh-CN"/>
        </w:rPr>
      </w:pPr>
      <w:r>
        <w:rPr>
          <w:rFonts w:eastAsia="宋体"/>
          <w:lang w:eastAsia="zh-CN"/>
        </w:rPr>
        <w:t>3. Conclusion</w:t>
      </w:r>
    </w:p>
    <w:p w14:paraId="5FFB297F" w14:textId="44F801AD" w:rsidR="00D72133" w:rsidRDefault="00454A16">
      <w:pPr>
        <w:rPr>
          <w:rFonts w:eastAsiaTheme="minorEastAsia"/>
          <w:lang w:eastAsia="zh-CN"/>
        </w:rPr>
      </w:pPr>
      <w:bookmarkStart w:id="11" w:name="_Toc423020280"/>
      <w:bookmarkEnd w:id="11"/>
      <w:r>
        <w:rPr>
          <w:rFonts w:eastAsiaTheme="minorEastAsia" w:hint="eastAsia"/>
          <w:lang w:eastAsia="zh-CN"/>
        </w:rPr>
        <w:t>I</w:t>
      </w:r>
      <w:r>
        <w:rPr>
          <w:rFonts w:eastAsiaTheme="minorEastAsia"/>
          <w:lang w:eastAsia="zh-CN"/>
        </w:rPr>
        <w:t xml:space="preserve">n this contribution, we provide our analyses on questions in RAN3 LS on resource efficiency </w:t>
      </w:r>
      <w:r w:rsidR="00D14A3D" w:rsidRPr="00D14A3D">
        <w:rPr>
          <w:rFonts w:eastAsiaTheme="minorEastAsia"/>
          <w:lang w:eastAsia="zh-CN"/>
        </w:rPr>
        <w:t xml:space="preserve">for MBS reception </w:t>
      </w:r>
      <w:r>
        <w:rPr>
          <w:rFonts w:eastAsiaTheme="minorEastAsia"/>
          <w:lang w:eastAsia="zh-CN"/>
        </w:rPr>
        <w:t>in RAN sharing scenario, and would like to provide RAN2</w:t>
      </w:r>
      <w:r w:rsidR="00D14A3D">
        <w:rPr>
          <w:rFonts w:eastAsiaTheme="minorEastAsia"/>
          <w:lang w:eastAsia="zh-CN"/>
        </w:rPr>
        <w:t>’s</w:t>
      </w:r>
      <w:r>
        <w:rPr>
          <w:rFonts w:eastAsiaTheme="minorEastAsia"/>
          <w:lang w:eastAsia="zh-CN"/>
        </w:rPr>
        <w:t xml:space="preserve"> feedback as follows:</w:t>
      </w:r>
    </w:p>
    <w:p w14:paraId="4173D12B" w14:textId="77777777" w:rsidR="00D72133" w:rsidRDefault="00454A1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Question (1): </w:t>
      </w:r>
    </w:p>
    <w:p w14:paraId="132C24E8" w14:textId="5E63553A" w:rsidR="00D72133" w:rsidRDefault="00D14A3D">
      <w:pPr>
        <w:spacing w:line="360" w:lineRule="auto"/>
        <w:rPr>
          <w:rFonts w:eastAsiaTheme="minorEastAsia"/>
          <w:lang w:eastAsia="zh-CN"/>
        </w:rPr>
      </w:pPr>
      <w:r>
        <w:rPr>
          <w:rFonts w:eastAsiaTheme="minorEastAsia" w:hint="eastAsia"/>
          <w:lang w:eastAsia="zh-CN"/>
        </w:rPr>
        <w:lastRenderedPageBreak/>
        <w:t>R</w:t>
      </w:r>
      <w:r>
        <w:rPr>
          <w:rFonts w:eastAsiaTheme="minorEastAsia"/>
          <w:lang w:eastAsia="zh-CN"/>
        </w:rPr>
        <w:t>AN 2 confirm configuration of each MBS broadcast session is provided separately for each TMGI. However, most of the configuration parameters including DRX configuration, PDSCH configuration and MTCH-SSB mapping window are configured as an index to one item in the list of configurations and the list is configured per cell, i.e. these configurations are not repeated for each session in case the same settings are used by these sessions.</w:t>
      </w:r>
    </w:p>
    <w:p w14:paraId="769AC0FB" w14:textId="77777777" w:rsidR="00D72133" w:rsidRDefault="00454A1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Question (2): </w:t>
      </w:r>
    </w:p>
    <w:p w14:paraId="29EA4DBA" w14:textId="56334912" w:rsidR="00D72133" w:rsidRDefault="00D14A3D">
      <w:pPr>
        <w:spacing w:line="360" w:lineRule="auto"/>
        <w:rPr>
          <w:szCs w:val="22"/>
          <w:lang w:eastAsia="zh-CN"/>
        </w:rPr>
      </w:pPr>
      <w:r>
        <w:rPr>
          <w:szCs w:val="22"/>
          <w:lang w:eastAsia="zh-CN"/>
        </w:rPr>
        <w:t>I</w:t>
      </w:r>
      <w:r>
        <w:rPr>
          <w:lang w:eastAsia="en-GB"/>
        </w:rPr>
        <w:t xml:space="preserve">f there is a neighbour cell not indicated in the </w:t>
      </w:r>
      <w:proofErr w:type="spellStart"/>
      <w:r>
        <w:rPr>
          <w:i/>
          <w:szCs w:val="22"/>
          <w:lang w:eastAsia="zh-CN"/>
        </w:rPr>
        <w:t>mtch-NeighbourCell</w:t>
      </w:r>
      <w:proofErr w:type="spellEnd"/>
      <w:r w:rsidRPr="008B3891">
        <w:rPr>
          <w:szCs w:val="22"/>
          <w:lang w:eastAsia="zh-CN"/>
        </w:rPr>
        <w:t>, it is up to UE implementation to determine what to do</w:t>
      </w:r>
      <w:r>
        <w:rPr>
          <w:szCs w:val="22"/>
          <w:lang w:eastAsia="zh-CN"/>
        </w:rPr>
        <w:t xml:space="preserve"> to ensure the service continuity</w:t>
      </w:r>
      <w:r w:rsidRPr="008B3891">
        <w:rPr>
          <w:szCs w:val="22"/>
          <w:lang w:eastAsia="zh-CN"/>
        </w:rPr>
        <w:t xml:space="preserve">, e.g. the UE may </w:t>
      </w:r>
      <w:r>
        <w:rPr>
          <w:szCs w:val="22"/>
          <w:lang w:eastAsia="zh-CN"/>
        </w:rPr>
        <w:t>trigger to establish unicast PDU session in application layer</w:t>
      </w:r>
      <w:r w:rsidRPr="008B3891">
        <w:rPr>
          <w:szCs w:val="22"/>
          <w:lang w:eastAsia="zh-CN"/>
        </w:rPr>
        <w:t xml:space="preserve"> or may read SIB1/SIB20 </w:t>
      </w:r>
      <w:r>
        <w:rPr>
          <w:szCs w:val="22"/>
          <w:lang w:eastAsia="zh-CN"/>
        </w:rPr>
        <w:t>of neighbour cell in advance</w:t>
      </w:r>
      <w:r w:rsidRPr="008B3891">
        <w:rPr>
          <w:szCs w:val="22"/>
          <w:lang w:eastAsia="zh-CN"/>
        </w:rPr>
        <w:t>.</w:t>
      </w:r>
    </w:p>
    <w:p w14:paraId="67662DCE" w14:textId="77777777" w:rsidR="00D72133" w:rsidRDefault="00454A16">
      <w:pPr>
        <w:rPr>
          <w:rFonts w:eastAsiaTheme="minorEastAsia"/>
          <w:b/>
          <w:lang w:eastAsia="zh-CN"/>
        </w:rPr>
      </w:pPr>
      <w:r>
        <w:rPr>
          <w:rFonts w:eastAsiaTheme="minorEastAsia" w:hint="eastAsia"/>
          <w:b/>
          <w:lang w:eastAsia="zh-CN"/>
        </w:rPr>
        <w:t>R</w:t>
      </w:r>
      <w:r>
        <w:rPr>
          <w:rFonts w:eastAsiaTheme="minorEastAsia"/>
          <w:b/>
          <w:lang w:eastAsia="zh-CN"/>
        </w:rPr>
        <w:t xml:space="preserve">AN2 Answer to Question (3): </w:t>
      </w:r>
    </w:p>
    <w:p w14:paraId="55F82CF3" w14:textId="534FE156" w:rsidR="00D72133" w:rsidRDefault="00D14A3D">
      <w:pPr>
        <w:spacing w:before="120" w:line="360" w:lineRule="auto"/>
        <w:rPr>
          <w:rFonts w:eastAsiaTheme="minorEastAsia"/>
          <w:b/>
          <w:lang w:eastAsia="zh-CN"/>
        </w:rPr>
      </w:pP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can signal the explicit PLMN ID in TMGI using </w:t>
      </w:r>
      <w:proofErr w:type="spellStart"/>
      <w:r>
        <w:rPr>
          <w:rFonts w:eastAsiaTheme="minorEastAsia"/>
          <w:i/>
          <w:iCs/>
          <w:lang w:eastAsia="zh-CN"/>
        </w:rPr>
        <w:t>explicitValue</w:t>
      </w:r>
      <w:proofErr w:type="spellEnd"/>
      <w:r>
        <w:t xml:space="preserve">, </w:t>
      </w:r>
      <w:r>
        <w:rPr>
          <w:rFonts w:eastAsiaTheme="minorEastAsia"/>
          <w:lang w:eastAsia="zh-CN"/>
        </w:rPr>
        <w:t>if the received PLMN ID in TMGI is not included in SIB1. MBS cannot work in S</w:t>
      </w:r>
      <w:r>
        <w:rPr>
          <w:rFonts w:eastAsiaTheme="minorEastAsia" w:hint="eastAsia"/>
          <w:lang w:eastAsia="zh-CN"/>
        </w:rPr>
        <w:t>NPN</w:t>
      </w:r>
      <w:r>
        <w:rPr>
          <w:rFonts w:eastAsiaTheme="minorEastAsia"/>
          <w:lang w:eastAsia="zh-CN"/>
        </w:rPr>
        <w:t xml:space="preserve"> </w:t>
      </w:r>
      <w:r>
        <w:rPr>
          <w:rFonts w:eastAsiaTheme="minorEastAsia" w:hint="eastAsia"/>
          <w:lang w:eastAsia="zh-CN"/>
        </w:rPr>
        <w:t>scen</w:t>
      </w:r>
      <w:r>
        <w:rPr>
          <w:rFonts w:eastAsiaTheme="minorEastAsia"/>
          <w:lang w:eastAsia="zh-CN"/>
        </w:rPr>
        <w:t>a</w:t>
      </w:r>
      <w:r>
        <w:rPr>
          <w:rFonts w:eastAsiaTheme="minorEastAsia" w:hint="eastAsia"/>
          <w:lang w:eastAsia="zh-CN"/>
        </w:rPr>
        <w:t>ri</w:t>
      </w:r>
      <w:r>
        <w:rPr>
          <w:rFonts w:eastAsiaTheme="minorEastAsia"/>
          <w:lang w:eastAsia="zh-CN"/>
        </w:rPr>
        <w:t>o based on current RRC specification, regardless of whether the NID is included in SIB1 or not.</w:t>
      </w:r>
    </w:p>
    <w:p w14:paraId="2FEDC5CA" w14:textId="77777777" w:rsidR="00D72133" w:rsidRDefault="00454A16">
      <w:pPr>
        <w:pStyle w:val="1"/>
      </w:pPr>
      <w:r>
        <w:t>4. Reference</w:t>
      </w:r>
    </w:p>
    <w:bookmarkEnd w:id="2"/>
    <w:p w14:paraId="4FC99240" w14:textId="77777777" w:rsidR="00D72133" w:rsidRDefault="00454A16">
      <w:pPr>
        <w:numPr>
          <w:ilvl w:val="0"/>
          <w:numId w:val="9"/>
        </w:numPr>
        <w:overflowPunct w:val="0"/>
        <w:autoSpaceDE w:val="0"/>
        <w:autoSpaceDN w:val="0"/>
        <w:adjustRightInd w:val="0"/>
        <w:spacing w:line="300" w:lineRule="auto"/>
        <w:textAlignment w:val="baseline"/>
        <w:rPr>
          <w:rFonts w:eastAsiaTheme="minorEastAsia"/>
        </w:rPr>
      </w:pPr>
      <w:r>
        <w:rPr>
          <w:rFonts w:eastAsiaTheme="minorEastAsia"/>
        </w:rPr>
        <w:t xml:space="preserve">RP-213568 New WID: Enhancements of NR Multicast and Broadcast Services, </w:t>
      </w:r>
      <w:r>
        <w:rPr>
          <w:rFonts w:eastAsiaTheme="minorEastAsia" w:hint="eastAsia"/>
        </w:rPr>
        <w:t>CATT</w:t>
      </w:r>
    </w:p>
    <w:p w14:paraId="02FC801D" w14:textId="77777777" w:rsidR="00D72133" w:rsidRDefault="00454A16">
      <w:pPr>
        <w:numPr>
          <w:ilvl w:val="0"/>
          <w:numId w:val="9"/>
        </w:numPr>
        <w:overflowPunct w:val="0"/>
        <w:autoSpaceDE w:val="0"/>
        <w:autoSpaceDN w:val="0"/>
        <w:adjustRightInd w:val="0"/>
        <w:spacing w:line="300" w:lineRule="auto"/>
        <w:textAlignment w:val="baseline"/>
        <w:rPr>
          <w:rFonts w:eastAsiaTheme="minorEastAsia"/>
        </w:rPr>
      </w:pPr>
      <w:r>
        <w:rPr>
          <w:rFonts w:eastAsiaTheme="minorEastAsia"/>
        </w:rPr>
        <w:t>R3-226084 LS on resource efficiency for MBS reception in RAN sharing scenario, Contact company: CATT</w:t>
      </w:r>
    </w:p>
    <w:p w14:paraId="2BCB8A5D" w14:textId="77777777" w:rsidR="00D72133" w:rsidRDefault="00454A16">
      <w:pPr>
        <w:spacing w:after="0"/>
        <w:rPr>
          <w:rFonts w:eastAsiaTheme="minorEastAsia"/>
        </w:rPr>
      </w:pPr>
      <w:r>
        <w:rPr>
          <w:rFonts w:eastAsiaTheme="minorEastAsia"/>
        </w:rPr>
        <w:br w:type="page"/>
      </w:r>
    </w:p>
    <w:sectPr w:rsidR="00D72133">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4A394" w14:textId="77777777" w:rsidR="00790033" w:rsidRDefault="00790033">
      <w:pPr>
        <w:spacing w:after="0"/>
      </w:pPr>
      <w:r>
        <w:separator/>
      </w:r>
    </w:p>
  </w:endnote>
  <w:endnote w:type="continuationSeparator" w:id="0">
    <w:p w14:paraId="463C4FB6" w14:textId="77777777" w:rsidR="00790033" w:rsidRDefault="00790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ACDB0" w14:textId="77777777" w:rsidR="00D72133" w:rsidRDefault="00454A1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DA731" w14:textId="77777777" w:rsidR="00790033" w:rsidRDefault="00790033">
      <w:pPr>
        <w:spacing w:after="0"/>
      </w:pPr>
      <w:r>
        <w:separator/>
      </w:r>
    </w:p>
  </w:footnote>
  <w:footnote w:type="continuationSeparator" w:id="0">
    <w:p w14:paraId="41A4C10F" w14:textId="77777777" w:rsidR="00790033" w:rsidRDefault="0079003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8BEA63E1"/>
    <w:rsid w:val="8EE77883"/>
    <w:rsid w:val="8FFF1F3C"/>
    <w:rsid w:val="9EDFA688"/>
    <w:rsid w:val="9F9E173B"/>
    <w:rsid w:val="ADDC1D13"/>
    <w:rsid w:val="AF6E3D49"/>
    <w:rsid w:val="B7F24BB1"/>
    <w:rsid w:val="BBBF4953"/>
    <w:rsid w:val="CBD96122"/>
    <w:rsid w:val="D7F7D390"/>
    <w:rsid w:val="E752023C"/>
    <w:rsid w:val="EB7F0868"/>
    <w:rsid w:val="EB7F0ABC"/>
    <w:rsid w:val="EEFD75D8"/>
    <w:rsid w:val="EFF977BC"/>
    <w:rsid w:val="F5FF3965"/>
    <w:rsid w:val="F7B5E7B6"/>
    <w:rsid w:val="F7DF57FC"/>
    <w:rsid w:val="F7EF43D7"/>
    <w:rsid w:val="F7F50D37"/>
    <w:rsid w:val="F7FFF62A"/>
    <w:rsid w:val="FAA7B950"/>
    <w:rsid w:val="FABF4DF6"/>
    <w:rsid w:val="FB9F6257"/>
    <w:rsid w:val="FBC667AA"/>
    <w:rsid w:val="FDAF337F"/>
    <w:rsid w:val="FDFE823C"/>
    <w:rsid w:val="FEDEAD06"/>
    <w:rsid w:val="FEFB10F6"/>
    <w:rsid w:val="FFACB392"/>
    <w:rsid w:val="FFDFB874"/>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17D7"/>
    <w:rsid w:val="000421C4"/>
    <w:rsid w:val="00043BC5"/>
    <w:rsid w:val="000442D9"/>
    <w:rsid w:val="00044562"/>
    <w:rsid w:val="00044844"/>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483B"/>
    <w:rsid w:val="00075247"/>
    <w:rsid w:val="00076E9F"/>
    <w:rsid w:val="00081C37"/>
    <w:rsid w:val="00083024"/>
    <w:rsid w:val="000832CF"/>
    <w:rsid w:val="00083842"/>
    <w:rsid w:val="000843D9"/>
    <w:rsid w:val="00084F0C"/>
    <w:rsid w:val="00084F5E"/>
    <w:rsid w:val="00085DF3"/>
    <w:rsid w:val="00086B96"/>
    <w:rsid w:val="00091874"/>
    <w:rsid w:val="000918C5"/>
    <w:rsid w:val="00092927"/>
    <w:rsid w:val="00093E22"/>
    <w:rsid w:val="00094829"/>
    <w:rsid w:val="0009762D"/>
    <w:rsid w:val="00097964"/>
    <w:rsid w:val="00097992"/>
    <w:rsid w:val="00097FD1"/>
    <w:rsid w:val="000A10EB"/>
    <w:rsid w:val="000A2D64"/>
    <w:rsid w:val="000A337E"/>
    <w:rsid w:val="000A3599"/>
    <w:rsid w:val="000A3769"/>
    <w:rsid w:val="000A394F"/>
    <w:rsid w:val="000A3CD7"/>
    <w:rsid w:val="000A4C5A"/>
    <w:rsid w:val="000A4F28"/>
    <w:rsid w:val="000A689E"/>
    <w:rsid w:val="000A6CBD"/>
    <w:rsid w:val="000B13E4"/>
    <w:rsid w:val="000B48A6"/>
    <w:rsid w:val="000B48F8"/>
    <w:rsid w:val="000B4B4A"/>
    <w:rsid w:val="000B54C1"/>
    <w:rsid w:val="000B5774"/>
    <w:rsid w:val="000B5F7E"/>
    <w:rsid w:val="000B78CC"/>
    <w:rsid w:val="000C00E1"/>
    <w:rsid w:val="000C42DD"/>
    <w:rsid w:val="000C4E93"/>
    <w:rsid w:val="000C6CBB"/>
    <w:rsid w:val="000C6D76"/>
    <w:rsid w:val="000C6E31"/>
    <w:rsid w:val="000C7168"/>
    <w:rsid w:val="000C7D04"/>
    <w:rsid w:val="000D0344"/>
    <w:rsid w:val="000D3B23"/>
    <w:rsid w:val="000D468C"/>
    <w:rsid w:val="000D5824"/>
    <w:rsid w:val="000D5EC9"/>
    <w:rsid w:val="000D6D63"/>
    <w:rsid w:val="000E02F8"/>
    <w:rsid w:val="000E13C9"/>
    <w:rsid w:val="000E1A05"/>
    <w:rsid w:val="000E301C"/>
    <w:rsid w:val="000E3370"/>
    <w:rsid w:val="000E33C3"/>
    <w:rsid w:val="000E4329"/>
    <w:rsid w:val="000E558F"/>
    <w:rsid w:val="000E7C81"/>
    <w:rsid w:val="000F025B"/>
    <w:rsid w:val="000F1FC4"/>
    <w:rsid w:val="000F2AF8"/>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2F6"/>
    <w:rsid w:val="00121CA2"/>
    <w:rsid w:val="0012227B"/>
    <w:rsid w:val="001227E7"/>
    <w:rsid w:val="0012368A"/>
    <w:rsid w:val="0012538C"/>
    <w:rsid w:val="00125A22"/>
    <w:rsid w:val="00126539"/>
    <w:rsid w:val="00126BF7"/>
    <w:rsid w:val="00127519"/>
    <w:rsid w:val="0013091C"/>
    <w:rsid w:val="00130C8A"/>
    <w:rsid w:val="001312D1"/>
    <w:rsid w:val="0013156C"/>
    <w:rsid w:val="00131814"/>
    <w:rsid w:val="00131EA5"/>
    <w:rsid w:val="0013204A"/>
    <w:rsid w:val="00132625"/>
    <w:rsid w:val="0013579E"/>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6BF2"/>
    <w:rsid w:val="001679FD"/>
    <w:rsid w:val="0017100B"/>
    <w:rsid w:val="00171F68"/>
    <w:rsid w:val="00174AB0"/>
    <w:rsid w:val="00176BFE"/>
    <w:rsid w:val="00177369"/>
    <w:rsid w:val="001775C4"/>
    <w:rsid w:val="001778DC"/>
    <w:rsid w:val="00177ED9"/>
    <w:rsid w:val="0018017B"/>
    <w:rsid w:val="00181069"/>
    <w:rsid w:val="00181BFC"/>
    <w:rsid w:val="00184EF7"/>
    <w:rsid w:val="00185A40"/>
    <w:rsid w:val="001860A0"/>
    <w:rsid w:val="0019227A"/>
    <w:rsid w:val="00195650"/>
    <w:rsid w:val="00195E37"/>
    <w:rsid w:val="001977C8"/>
    <w:rsid w:val="00197992"/>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F4D"/>
    <w:rsid w:val="001D1842"/>
    <w:rsid w:val="001D1EAA"/>
    <w:rsid w:val="001D2965"/>
    <w:rsid w:val="001D305F"/>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5DD"/>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5EA5"/>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940"/>
    <w:rsid w:val="00245042"/>
    <w:rsid w:val="00245B23"/>
    <w:rsid w:val="00246DE8"/>
    <w:rsid w:val="0025022A"/>
    <w:rsid w:val="00250854"/>
    <w:rsid w:val="0025228F"/>
    <w:rsid w:val="002530BE"/>
    <w:rsid w:val="00253E55"/>
    <w:rsid w:val="00257195"/>
    <w:rsid w:val="002578D8"/>
    <w:rsid w:val="002613A5"/>
    <w:rsid w:val="00267881"/>
    <w:rsid w:val="00270909"/>
    <w:rsid w:val="00271175"/>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0BF"/>
    <w:rsid w:val="002A3934"/>
    <w:rsid w:val="002A44F6"/>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D4B"/>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4E7"/>
    <w:rsid w:val="0035052F"/>
    <w:rsid w:val="00351711"/>
    <w:rsid w:val="00351B7B"/>
    <w:rsid w:val="00351BCD"/>
    <w:rsid w:val="00352A6B"/>
    <w:rsid w:val="0035378A"/>
    <w:rsid w:val="00353A10"/>
    <w:rsid w:val="00354799"/>
    <w:rsid w:val="00355891"/>
    <w:rsid w:val="00355E3A"/>
    <w:rsid w:val="00355E72"/>
    <w:rsid w:val="003561A9"/>
    <w:rsid w:val="00357A1A"/>
    <w:rsid w:val="00357C32"/>
    <w:rsid w:val="00360667"/>
    <w:rsid w:val="00360F5A"/>
    <w:rsid w:val="003616A4"/>
    <w:rsid w:val="00361D36"/>
    <w:rsid w:val="003621A3"/>
    <w:rsid w:val="00363FF1"/>
    <w:rsid w:val="003643D7"/>
    <w:rsid w:val="0036566E"/>
    <w:rsid w:val="00366FA1"/>
    <w:rsid w:val="00367757"/>
    <w:rsid w:val="0037004C"/>
    <w:rsid w:val="003703CB"/>
    <w:rsid w:val="0037119B"/>
    <w:rsid w:val="00371278"/>
    <w:rsid w:val="003716D6"/>
    <w:rsid w:val="00371EED"/>
    <w:rsid w:val="00372A7D"/>
    <w:rsid w:val="00372E32"/>
    <w:rsid w:val="00373E10"/>
    <w:rsid w:val="0037427C"/>
    <w:rsid w:val="00375255"/>
    <w:rsid w:val="0037708B"/>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5C2C"/>
    <w:rsid w:val="0039604D"/>
    <w:rsid w:val="00396450"/>
    <w:rsid w:val="003A2E9C"/>
    <w:rsid w:val="003A38B6"/>
    <w:rsid w:val="003A41E4"/>
    <w:rsid w:val="003A4FE1"/>
    <w:rsid w:val="003A557A"/>
    <w:rsid w:val="003A6D6C"/>
    <w:rsid w:val="003B3117"/>
    <w:rsid w:val="003B5800"/>
    <w:rsid w:val="003B7C7F"/>
    <w:rsid w:val="003C060B"/>
    <w:rsid w:val="003C1312"/>
    <w:rsid w:val="003C3310"/>
    <w:rsid w:val="003C4C53"/>
    <w:rsid w:val="003C5549"/>
    <w:rsid w:val="003C6D51"/>
    <w:rsid w:val="003C6FFD"/>
    <w:rsid w:val="003C7216"/>
    <w:rsid w:val="003D0F1F"/>
    <w:rsid w:val="003D17A2"/>
    <w:rsid w:val="003D1A37"/>
    <w:rsid w:val="003D4B4C"/>
    <w:rsid w:val="003D4CBF"/>
    <w:rsid w:val="003D5DCB"/>
    <w:rsid w:val="003D6692"/>
    <w:rsid w:val="003D6717"/>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58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312A"/>
    <w:rsid w:val="00444983"/>
    <w:rsid w:val="00444C29"/>
    <w:rsid w:val="00444F8C"/>
    <w:rsid w:val="004453C9"/>
    <w:rsid w:val="00445A1C"/>
    <w:rsid w:val="00446490"/>
    <w:rsid w:val="0044674B"/>
    <w:rsid w:val="00446771"/>
    <w:rsid w:val="00447DF9"/>
    <w:rsid w:val="00453767"/>
    <w:rsid w:val="00453897"/>
    <w:rsid w:val="00454630"/>
    <w:rsid w:val="00454A16"/>
    <w:rsid w:val="00454B84"/>
    <w:rsid w:val="004555BE"/>
    <w:rsid w:val="00455F90"/>
    <w:rsid w:val="004567A8"/>
    <w:rsid w:val="00456EF9"/>
    <w:rsid w:val="00456FB2"/>
    <w:rsid w:val="00457E35"/>
    <w:rsid w:val="0046072B"/>
    <w:rsid w:val="004607BA"/>
    <w:rsid w:val="00460DFE"/>
    <w:rsid w:val="00461097"/>
    <w:rsid w:val="004661DF"/>
    <w:rsid w:val="004667D7"/>
    <w:rsid w:val="00466B68"/>
    <w:rsid w:val="00466F57"/>
    <w:rsid w:val="00467069"/>
    <w:rsid w:val="004678D4"/>
    <w:rsid w:val="0047197D"/>
    <w:rsid w:val="00471C06"/>
    <w:rsid w:val="00472352"/>
    <w:rsid w:val="004736B9"/>
    <w:rsid w:val="00473B6E"/>
    <w:rsid w:val="00474F28"/>
    <w:rsid w:val="0047550E"/>
    <w:rsid w:val="00475E25"/>
    <w:rsid w:val="00475FA8"/>
    <w:rsid w:val="004761B3"/>
    <w:rsid w:val="00477014"/>
    <w:rsid w:val="0047739E"/>
    <w:rsid w:val="004822A4"/>
    <w:rsid w:val="004833B6"/>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787"/>
    <w:rsid w:val="00495A6C"/>
    <w:rsid w:val="00496A9B"/>
    <w:rsid w:val="004A057E"/>
    <w:rsid w:val="004A0776"/>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C9F"/>
    <w:rsid w:val="004B3D21"/>
    <w:rsid w:val="004B4C38"/>
    <w:rsid w:val="004B5426"/>
    <w:rsid w:val="004B5622"/>
    <w:rsid w:val="004B73E3"/>
    <w:rsid w:val="004C0689"/>
    <w:rsid w:val="004C14E9"/>
    <w:rsid w:val="004C4FA4"/>
    <w:rsid w:val="004C5480"/>
    <w:rsid w:val="004C5649"/>
    <w:rsid w:val="004C702B"/>
    <w:rsid w:val="004C7705"/>
    <w:rsid w:val="004D0597"/>
    <w:rsid w:val="004D0DB9"/>
    <w:rsid w:val="004D221A"/>
    <w:rsid w:val="004D244F"/>
    <w:rsid w:val="004D464D"/>
    <w:rsid w:val="004D4BFE"/>
    <w:rsid w:val="004D5606"/>
    <w:rsid w:val="004D6157"/>
    <w:rsid w:val="004D679B"/>
    <w:rsid w:val="004E118E"/>
    <w:rsid w:val="004E1D68"/>
    <w:rsid w:val="004E22D6"/>
    <w:rsid w:val="004E5AD5"/>
    <w:rsid w:val="004E6920"/>
    <w:rsid w:val="004E7EAF"/>
    <w:rsid w:val="004F0D89"/>
    <w:rsid w:val="004F1793"/>
    <w:rsid w:val="004F2ABD"/>
    <w:rsid w:val="004F2B49"/>
    <w:rsid w:val="004F2C82"/>
    <w:rsid w:val="004F30D4"/>
    <w:rsid w:val="004F3427"/>
    <w:rsid w:val="004F34D4"/>
    <w:rsid w:val="004F3BBB"/>
    <w:rsid w:val="004F5418"/>
    <w:rsid w:val="004F58BC"/>
    <w:rsid w:val="004F60A9"/>
    <w:rsid w:val="004F6211"/>
    <w:rsid w:val="004F65CD"/>
    <w:rsid w:val="004F6F3D"/>
    <w:rsid w:val="004F73A5"/>
    <w:rsid w:val="004F76F4"/>
    <w:rsid w:val="00500361"/>
    <w:rsid w:val="00501087"/>
    <w:rsid w:val="00502CE9"/>
    <w:rsid w:val="00503992"/>
    <w:rsid w:val="00504ABB"/>
    <w:rsid w:val="00504D7B"/>
    <w:rsid w:val="00504E75"/>
    <w:rsid w:val="005058E9"/>
    <w:rsid w:val="00506CEC"/>
    <w:rsid w:val="00510F75"/>
    <w:rsid w:val="005125DD"/>
    <w:rsid w:val="00512908"/>
    <w:rsid w:val="0051371E"/>
    <w:rsid w:val="005147F8"/>
    <w:rsid w:val="00514BA5"/>
    <w:rsid w:val="00514D26"/>
    <w:rsid w:val="00516344"/>
    <w:rsid w:val="0051671D"/>
    <w:rsid w:val="00516808"/>
    <w:rsid w:val="005203B7"/>
    <w:rsid w:val="0052072E"/>
    <w:rsid w:val="00521480"/>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3CB2"/>
    <w:rsid w:val="005343D4"/>
    <w:rsid w:val="005357B3"/>
    <w:rsid w:val="005365BE"/>
    <w:rsid w:val="0054059A"/>
    <w:rsid w:val="00540E90"/>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6B5"/>
    <w:rsid w:val="00575C14"/>
    <w:rsid w:val="00576B52"/>
    <w:rsid w:val="00577754"/>
    <w:rsid w:val="0058102B"/>
    <w:rsid w:val="005831DD"/>
    <w:rsid w:val="00583D3F"/>
    <w:rsid w:val="0058472F"/>
    <w:rsid w:val="00584912"/>
    <w:rsid w:val="005865D8"/>
    <w:rsid w:val="00586B32"/>
    <w:rsid w:val="00586DD7"/>
    <w:rsid w:val="00586F21"/>
    <w:rsid w:val="005936AE"/>
    <w:rsid w:val="005936AF"/>
    <w:rsid w:val="005944E5"/>
    <w:rsid w:val="0059611C"/>
    <w:rsid w:val="005A2C0F"/>
    <w:rsid w:val="005A3E77"/>
    <w:rsid w:val="005A5317"/>
    <w:rsid w:val="005A5B67"/>
    <w:rsid w:val="005A6AE0"/>
    <w:rsid w:val="005A6F63"/>
    <w:rsid w:val="005A77C6"/>
    <w:rsid w:val="005B03F7"/>
    <w:rsid w:val="005B0621"/>
    <w:rsid w:val="005B0992"/>
    <w:rsid w:val="005B142A"/>
    <w:rsid w:val="005B17D5"/>
    <w:rsid w:val="005B21D8"/>
    <w:rsid w:val="005B286F"/>
    <w:rsid w:val="005B288E"/>
    <w:rsid w:val="005B36E8"/>
    <w:rsid w:val="005B40BD"/>
    <w:rsid w:val="005B5098"/>
    <w:rsid w:val="005B57AD"/>
    <w:rsid w:val="005B662F"/>
    <w:rsid w:val="005B79EA"/>
    <w:rsid w:val="005C0B1C"/>
    <w:rsid w:val="005C21CA"/>
    <w:rsid w:val="005C25B7"/>
    <w:rsid w:val="005C3EA0"/>
    <w:rsid w:val="005C7656"/>
    <w:rsid w:val="005D0520"/>
    <w:rsid w:val="005D1877"/>
    <w:rsid w:val="005D1DAC"/>
    <w:rsid w:val="005D2E91"/>
    <w:rsid w:val="005D34B6"/>
    <w:rsid w:val="005D38FB"/>
    <w:rsid w:val="005D46A2"/>
    <w:rsid w:val="005D5A2E"/>
    <w:rsid w:val="005E0079"/>
    <w:rsid w:val="005E066C"/>
    <w:rsid w:val="005E289D"/>
    <w:rsid w:val="005E2C44"/>
    <w:rsid w:val="005E300B"/>
    <w:rsid w:val="005E3280"/>
    <w:rsid w:val="005E5A4E"/>
    <w:rsid w:val="005E64D8"/>
    <w:rsid w:val="005F0E08"/>
    <w:rsid w:val="005F1896"/>
    <w:rsid w:val="005F36EF"/>
    <w:rsid w:val="005F48CD"/>
    <w:rsid w:val="00600BB7"/>
    <w:rsid w:val="00600E5D"/>
    <w:rsid w:val="006012B9"/>
    <w:rsid w:val="00602547"/>
    <w:rsid w:val="006038C6"/>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2E82"/>
    <w:rsid w:val="00623FA7"/>
    <w:rsid w:val="00625940"/>
    <w:rsid w:val="00625CEF"/>
    <w:rsid w:val="00625D09"/>
    <w:rsid w:val="006261D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25A"/>
    <w:rsid w:val="00656298"/>
    <w:rsid w:val="00657240"/>
    <w:rsid w:val="0066041B"/>
    <w:rsid w:val="00661F1C"/>
    <w:rsid w:val="006631D6"/>
    <w:rsid w:val="006631D9"/>
    <w:rsid w:val="00663F48"/>
    <w:rsid w:val="006645D7"/>
    <w:rsid w:val="00664C7E"/>
    <w:rsid w:val="0066605D"/>
    <w:rsid w:val="006660C6"/>
    <w:rsid w:val="00666395"/>
    <w:rsid w:val="00666DD8"/>
    <w:rsid w:val="006705F0"/>
    <w:rsid w:val="00670B5A"/>
    <w:rsid w:val="00670B7C"/>
    <w:rsid w:val="00670E91"/>
    <w:rsid w:val="00671283"/>
    <w:rsid w:val="006726F6"/>
    <w:rsid w:val="006730F8"/>
    <w:rsid w:val="00673B4E"/>
    <w:rsid w:val="00673F38"/>
    <w:rsid w:val="00674A87"/>
    <w:rsid w:val="0067553B"/>
    <w:rsid w:val="006765FF"/>
    <w:rsid w:val="00681497"/>
    <w:rsid w:val="00683590"/>
    <w:rsid w:val="00683A98"/>
    <w:rsid w:val="0068422A"/>
    <w:rsid w:val="006851A4"/>
    <w:rsid w:val="006853A9"/>
    <w:rsid w:val="00685676"/>
    <w:rsid w:val="00685CB5"/>
    <w:rsid w:val="0068707A"/>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53D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6527"/>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606"/>
    <w:rsid w:val="00724750"/>
    <w:rsid w:val="00726830"/>
    <w:rsid w:val="00726AB8"/>
    <w:rsid w:val="00726B94"/>
    <w:rsid w:val="007277FE"/>
    <w:rsid w:val="007304DD"/>
    <w:rsid w:val="007310F2"/>
    <w:rsid w:val="007316DF"/>
    <w:rsid w:val="007320A6"/>
    <w:rsid w:val="00732E28"/>
    <w:rsid w:val="00733013"/>
    <w:rsid w:val="00733D85"/>
    <w:rsid w:val="007359D7"/>
    <w:rsid w:val="0073626E"/>
    <w:rsid w:val="007378BA"/>
    <w:rsid w:val="0074377F"/>
    <w:rsid w:val="00744523"/>
    <w:rsid w:val="00745ED9"/>
    <w:rsid w:val="007464A1"/>
    <w:rsid w:val="00746768"/>
    <w:rsid w:val="007468E1"/>
    <w:rsid w:val="00746DAC"/>
    <w:rsid w:val="00747A74"/>
    <w:rsid w:val="007503B9"/>
    <w:rsid w:val="007506E8"/>
    <w:rsid w:val="0075286F"/>
    <w:rsid w:val="007538D1"/>
    <w:rsid w:val="00753A02"/>
    <w:rsid w:val="0075402D"/>
    <w:rsid w:val="00754097"/>
    <w:rsid w:val="00754BAF"/>
    <w:rsid w:val="0075675C"/>
    <w:rsid w:val="0075689D"/>
    <w:rsid w:val="00756ECD"/>
    <w:rsid w:val="00760B09"/>
    <w:rsid w:val="00761AD4"/>
    <w:rsid w:val="00762369"/>
    <w:rsid w:val="00763774"/>
    <w:rsid w:val="00764D85"/>
    <w:rsid w:val="007652AA"/>
    <w:rsid w:val="00765492"/>
    <w:rsid w:val="007659A7"/>
    <w:rsid w:val="00766154"/>
    <w:rsid w:val="007678AB"/>
    <w:rsid w:val="007678C0"/>
    <w:rsid w:val="0076799B"/>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7513"/>
    <w:rsid w:val="00790033"/>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00EC"/>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EA3"/>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09A"/>
    <w:rsid w:val="00807E69"/>
    <w:rsid w:val="00811EB2"/>
    <w:rsid w:val="00814156"/>
    <w:rsid w:val="00814EC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B35"/>
    <w:rsid w:val="00847222"/>
    <w:rsid w:val="00847343"/>
    <w:rsid w:val="00850DCF"/>
    <w:rsid w:val="008525BE"/>
    <w:rsid w:val="008537FC"/>
    <w:rsid w:val="00853870"/>
    <w:rsid w:val="00855B68"/>
    <w:rsid w:val="0085631C"/>
    <w:rsid w:val="0085641C"/>
    <w:rsid w:val="0086703C"/>
    <w:rsid w:val="0086790E"/>
    <w:rsid w:val="00872C69"/>
    <w:rsid w:val="00873AA0"/>
    <w:rsid w:val="00873CFE"/>
    <w:rsid w:val="00874E26"/>
    <w:rsid w:val="008809A6"/>
    <w:rsid w:val="0088193D"/>
    <w:rsid w:val="00881BC8"/>
    <w:rsid w:val="00881F65"/>
    <w:rsid w:val="008838A3"/>
    <w:rsid w:val="00883DE9"/>
    <w:rsid w:val="0088409B"/>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48C"/>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296"/>
    <w:rsid w:val="008C7645"/>
    <w:rsid w:val="008C7D0D"/>
    <w:rsid w:val="008D0901"/>
    <w:rsid w:val="008D1335"/>
    <w:rsid w:val="008D1CC6"/>
    <w:rsid w:val="008D2C81"/>
    <w:rsid w:val="008D3D88"/>
    <w:rsid w:val="008D54BC"/>
    <w:rsid w:val="008D54D3"/>
    <w:rsid w:val="008D5FF6"/>
    <w:rsid w:val="008D62F9"/>
    <w:rsid w:val="008D665E"/>
    <w:rsid w:val="008D6B8C"/>
    <w:rsid w:val="008E0711"/>
    <w:rsid w:val="008E0875"/>
    <w:rsid w:val="008E120E"/>
    <w:rsid w:val="008E317F"/>
    <w:rsid w:val="008E37CD"/>
    <w:rsid w:val="008E48DB"/>
    <w:rsid w:val="008E5CF9"/>
    <w:rsid w:val="008E726F"/>
    <w:rsid w:val="008E79CD"/>
    <w:rsid w:val="008E7DBA"/>
    <w:rsid w:val="008F1DD5"/>
    <w:rsid w:val="008F2912"/>
    <w:rsid w:val="008F2B18"/>
    <w:rsid w:val="008F2E09"/>
    <w:rsid w:val="008F2E96"/>
    <w:rsid w:val="008F316F"/>
    <w:rsid w:val="008F3493"/>
    <w:rsid w:val="008F3C0D"/>
    <w:rsid w:val="008F4441"/>
    <w:rsid w:val="008F5B85"/>
    <w:rsid w:val="008F720B"/>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DF1"/>
    <w:rsid w:val="0093757B"/>
    <w:rsid w:val="00937F89"/>
    <w:rsid w:val="0094074A"/>
    <w:rsid w:val="009421CA"/>
    <w:rsid w:val="00942DAE"/>
    <w:rsid w:val="00942E79"/>
    <w:rsid w:val="009433E5"/>
    <w:rsid w:val="00943AAA"/>
    <w:rsid w:val="00945D10"/>
    <w:rsid w:val="00946A28"/>
    <w:rsid w:val="00950BB4"/>
    <w:rsid w:val="00951CDA"/>
    <w:rsid w:val="00952DFC"/>
    <w:rsid w:val="009532B9"/>
    <w:rsid w:val="00954256"/>
    <w:rsid w:val="009546A7"/>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4FD3"/>
    <w:rsid w:val="00975E6F"/>
    <w:rsid w:val="00980067"/>
    <w:rsid w:val="00981B7A"/>
    <w:rsid w:val="00982B90"/>
    <w:rsid w:val="00983665"/>
    <w:rsid w:val="00987F4F"/>
    <w:rsid w:val="00990A84"/>
    <w:rsid w:val="00991380"/>
    <w:rsid w:val="00992F7D"/>
    <w:rsid w:val="009930E6"/>
    <w:rsid w:val="009935B7"/>
    <w:rsid w:val="0099570D"/>
    <w:rsid w:val="009966EC"/>
    <w:rsid w:val="00997584"/>
    <w:rsid w:val="00997F4A"/>
    <w:rsid w:val="009A1557"/>
    <w:rsid w:val="009A184B"/>
    <w:rsid w:val="009A1C7C"/>
    <w:rsid w:val="009A1CFA"/>
    <w:rsid w:val="009A265A"/>
    <w:rsid w:val="009A5309"/>
    <w:rsid w:val="009A5C52"/>
    <w:rsid w:val="009A5CEE"/>
    <w:rsid w:val="009A676C"/>
    <w:rsid w:val="009A722D"/>
    <w:rsid w:val="009A7356"/>
    <w:rsid w:val="009B2BFE"/>
    <w:rsid w:val="009B3419"/>
    <w:rsid w:val="009B350B"/>
    <w:rsid w:val="009B3D69"/>
    <w:rsid w:val="009B4646"/>
    <w:rsid w:val="009B5128"/>
    <w:rsid w:val="009B63AF"/>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0C2D"/>
    <w:rsid w:val="009F458D"/>
    <w:rsid w:val="009F5C3D"/>
    <w:rsid w:val="009F6450"/>
    <w:rsid w:val="00A007DD"/>
    <w:rsid w:val="00A02E4D"/>
    <w:rsid w:val="00A03496"/>
    <w:rsid w:val="00A0622B"/>
    <w:rsid w:val="00A06BFC"/>
    <w:rsid w:val="00A07ACA"/>
    <w:rsid w:val="00A10593"/>
    <w:rsid w:val="00A10749"/>
    <w:rsid w:val="00A110F3"/>
    <w:rsid w:val="00A111F2"/>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161"/>
    <w:rsid w:val="00A33D68"/>
    <w:rsid w:val="00A34915"/>
    <w:rsid w:val="00A35BEB"/>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924"/>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77E"/>
    <w:rsid w:val="00A928E5"/>
    <w:rsid w:val="00A934D0"/>
    <w:rsid w:val="00A94392"/>
    <w:rsid w:val="00A95754"/>
    <w:rsid w:val="00A9721B"/>
    <w:rsid w:val="00AA3A7F"/>
    <w:rsid w:val="00AA4C5E"/>
    <w:rsid w:val="00AA6681"/>
    <w:rsid w:val="00AA73DA"/>
    <w:rsid w:val="00AA7DFA"/>
    <w:rsid w:val="00AB057B"/>
    <w:rsid w:val="00AB2179"/>
    <w:rsid w:val="00AB3629"/>
    <w:rsid w:val="00AB37CE"/>
    <w:rsid w:val="00AB4399"/>
    <w:rsid w:val="00AB4891"/>
    <w:rsid w:val="00AB502E"/>
    <w:rsid w:val="00AB729D"/>
    <w:rsid w:val="00AB7302"/>
    <w:rsid w:val="00AC139E"/>
    <w:rsid w:val="00AC2B26"/>
    <w:rsid w:val="00AC32AC"/>
    <w:rsid w:val="00AC4067"/>
    <w:rsid w:val="00AC6137"/>
    <w:rsid w:val="00AC6156"/>
    <w:rsid w:val="00AC6556"/>
    <w:rsid w:val="00AD0483"/>
    <w:rsid w:val="00AD0624"/>
    <w:rsid w:val="00AD1841"/>
    <w:rsid w:val="00AD34E1"/>
    <w:rsid w:val="00AD3B6A"/>
    <w:rsid w:val="00AD42E1"/>
    <w:rsid w:val="00AD482F"/>
    <w:rsid w:val="00AD5195"/>
    <w:rsid w:val="00AD530D"/>
    <w:rsid w:val="00AD7548"/>
    <w:rsid w:val="00AE0052"/>
    <w:rsid w:val="00AE1A41"/>
    <w:rsid w:val="00AE20D4"/>
    <w:rsid w:val="00AE2673"/>
    <w:rsid w:val="00AE2CC3"/>
    <w:rsid w:val="00AE2DDF"/>
    <w:rsid w:val="00AE30CF"/>
    <w:rsid w:val="00AE4202"/>
    <w:rsid w:val="00AE5600"/>
    <w:rsid w:val="00AE6F49"/>
    <w:rsid w:val="00AE7628"/>
    <w:rsid w:val="00AE7EA7"/>
    <w:rsid w:val="00AF0536"/>
    <w:rsid w:val="00AF1890"/>
    <w:rsid w:val="00AF3473"/>
    <w:rsid w:val="00AF45CD"/>
    <w:rsid w:val="00AF4A07"/>
    <w:rsid w:val="00AF4E18"/>
    <w:rsid w:val="00AF7515"/>
    <w:rsid w:val="00B00341"/>
    <w:rsid w:val="00B010E3"/>
    <w:rsid w:val="00B039EC"/>
    <w:rsid w:val="00B05534"/>
    <w:rsid w:val="00B075E1"/>
    <w:rsid w:val="00B079D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464C"/>
    <w:rsid w:val="00B26195"/>
    <w:rsid w:val="00B26360"/>
    <w:rsid w:val="00B26463"/>
    <w:rsid w:val="00B27C79"/>
    <w:rsid w:val="00B27F94"/>
    <w:rsid w:val="00B30D09"/>
    <w:rsid w:val="00B31E2B"/>
    <w:rsid w:val="00B31ED2"/>
    <w:rsid w:val="00B3360C"/>
    <w:rsid w:val="00B34502"/>
    <w:rsid w:val="00B347E8"/>
    <w:rsid w:val="00B34A43"/>
    <w:rsid w:val="00B34FB1"/>
    <w:rsid w:val="00B35CC0"/>
    <w:rsid w:val="00B40BA4"/>
    <w:rsid w:val="00B41217"/>
    <w:rsid w:val="00B42D10"/>
    <w:rsid w:val="00B4374E"/>
    <w:rsid w:val="00B43899"/>
    <w:rsid w:val="00B44656"/>
    <w:rsid w:val="00B457DB"/>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578F7"/>
    <w:rsid w:val="00B6023C"/>
    <w:rsid w:val="00B614F8"/>
    <w:rsid w:val="00B619BE"/>
    <w:rsid w:val="00B61FEB"/>
    <w:rsid w:val="00B625C5"/>
    <w:rsid w:val="00B64038"/>
    <w:rsid w:val="00B642D5"/>
    <w:rsid w:val="00B65432"/>
    <w:rsid w:val="00B65EF1"/>
    <w:rsid w:val="00B667C5"/>
    <w:rsid w:val="00B67E51"/>
    <w:rsid w:val="00B67FC0"/>
    <w:rsid w:val="00B67FF9"/>
    <w:rsid w:val="00B704CB"/>
    <w:rsid w:val="00B705D1"/>
    <w:rsid w:val="00B718B2"/>
    <w:rsid w:val="00B71F0A"/>
    <w:rsid w:val="00B7221F"/>
    <w:rsid w:val="00B7529A"/>
    <w:rsid w:val="00B75A4C"/>
    <w:rsid w:val="00B75ACA"/>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F66"/>
    <w:rsid w:val="00B93D8B"/>
    <w:rsid w:val="00B95A88"/>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1C1B"/>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5E4E"/>
    <w:rsid w:val="00C168C6"/>
    <w:rsid w:val="00C16A56"/>
    <w:rsid w:val="00C17D9F"/>
    <w:rsid w:val="00C20182"/>
    <w:rsid w:val="00C20F4E"/>
    <w:rsid w:val="00C22470"/>
    <w:rsid w:val="00C2412B"/>
    <w:rsid w:val="00C2448E"/>
    <w:rsid w:val="00C24E1D"/>
    <w:rsid w:val="00C322F9"/>
    <w:rsid w:val="00C33600"/>
    <w:rsid w:val="00C34095"/>
    <w:rsid w:val="00C344DF"/>
    <w:rsid w:val="00C35BCE"/>
    <w:rsid w:val="00C366EE"/>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449"/>
    <w:rsid w:val="00C67B92"/>
    <w:rsid w:val="00C67EF1"/>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00B"/>
    <w:rsid w:val="00CA7256"/>
    <w:rsid w:val="00CA7E34"/>
    <w:rsid w:val="00CB11E0"/>
    <w:rsid w:val="00CB33D7"/>
    <w:rsid w:val="00CB3714"/>
    <w:rsid w:val="00CB4DE2"/>
    <w:rsid w:val="00CB6240"/>
    <w:rsid w:val="00CC004A"/>
    <w:rsid w:val="00CC1B29"/>
    <w:rsid w:val="00CC475F"/>
    <w:rsid w:val="00CC6082"/>
    <w:rsid w:val="00CC6161"/>
    <w:rsid w:val="00CC6C6E"/>
    <w:rsid w:val="00CC76E6"/>
    <w:rsid w:val="00CC7FD1"/>
    <w:rsid w:val="00CC7FFB"/>
    <w:rsid w:val="00CD01E6"/>
    <w:rsid w:val="00CD05C8"/>
    <w:rsid w:val="00CD06F2"/>
    <w:rsid w:val="00CD1A92"/>
    <w:rsid w:val="00CD1F55"/>
    <w:rsid w:val="00CD2EB0"/>
    <w:rsid w:val="00CD367F"/>
    <w:rsid w:val="00CD5801"/>
    <w:rsid w:val="00CD69CD"/>
    <w:rsid w:val="00CD6ED2"/>
    <w:rsid w:val="00CE076C"/>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2F8C"/>
    <w:rsid w:val="00D045B1"/>
    <w:rsid w:val="00D051A3"/>
    <w:rsid w:val="00D0592B"/>
    <w:rsid w:val="00D12684"/>
    <w:rsid w:val="00D129E1"/>
    <w:rsid w:val="00D13AF7"/>
    <w:rsid w:val="00D14A3D"/>
    <w:rsid w:val="00D14BDC"/>
    <w:rsid w:val="00D1547D"/>
    <w:rsid w:val="00D15834"/>
    <w:rsid w:val="00D15D1D"/>
    <w:rsid w:val="00D17D34"/>
    <w:rsid w:val="00D20A32"/>
    <w:rsid w:val="00D23233"/>
    <w:rsid w:val="00D233A3"/>
    <w:rsid w:val="00D2389D"/>
    <w:rsid w:val="00D24B5B"/>
    <w:rsid w:val="00D25335"/>
    <w:rsid w:val="00D25C6F"/>
    <w:rsid w:val="00D2660D"/>
    <w:rsid w:val="00D317C2"/>
    <w:rsid w:val="00D32033"/>
    <w:rsid w:val="00D322C4"/>
    <w:rsid w:val="00D32B0C"/>
    <w:rsid w:val="00D34B96"/>
    <w:rsid w:val="00D377E1"/>
    <w:rsid w:val="00D40C3D"/>
    <w:rsid w:val="00D4115F"/>
    <w:rsid w:val="00D413F6"/>
    <w:rsid w:val="00D41622"/>
    <w:rsid w:val="00D44952"/>
    <w:rsid w:val="00D44BBF"/>
    <w:rsid w:val="00D44CB7"/>
    <w:rsid w:val="00D47B5E"/>
    <w:rsid w:val="00D500FB"/>
    <w:rsid w:val="00D504D2"/>
    <w:rsid w:val="00D507C5"/>
    <w:rsid w:val="00D5170B"/>
    <w:rsid w:val="00D51DA3"/>
    <w:rsid w:val="00D5234E"/>
    <w:rsid w:val="00D52DEF"/>
    <w:rsid w:val="00D54ABF"/>
    <w:rsid w:val="00D55157"/>
    <w:rsid w:val="00D56017"/>
    <w:rsid w:val="00D60117"/>
    <w:rsid w:val="00D61CFF"/>
    <w:rsid w:val="00D61E64"/>
    <w:rsid w:val="00D6360C"/>
    <w:rsid w:val="00D64714"/>
    <w:rsid w:val="00D65840"/>
    <w:rsid w:val="00D66BC4"/>
    <w:rsid w:val="00D66DB4"/>
    <w:rsid w:val="00D67393"/>
    <w:rsid w:val="00D67E08"/>
    <w:rsid w:val="00D7032C"/>
    <w:rsid w:val="00D7067B"/>
    <w:rsid w:val="00D712EC"/>
    <w:rsid w:val="00D7175C"/>
    <w:rsid w:val="00D72133"/>
    <w:rsid w:val="00D72B2E"/>
    <w:rsid w:val="00D74B6B"/>
    <w:rsid w:val="00D760A8"/>
    <w:rsid w:val="00D76CB8"/>
    <w:rsid w:val="00D77A26"/>
    <w:rsid w:val="00D805A2"/>
    <w:rsid w:val="00D80C65"/>
    <w:rsid w:val="00D82112"/>
    <w:rsid w:val="00D8495E"/>
    <w:rsid w:val="00D9074A"/>
    <w:rsid w:val="00D9097D"/>
    <w:rsid w:val="00D9417C"/>
    <w:rsid w:val="00D949C7"/>
    <w:rsid w:val="00D94E69"/>
    <w:rsid w:val="00D952E4"/>
    <w:rsid w:val="00D95B22"/>
    <w:rsid w:val="00D95C17"/>
    <w:rsid w:val="00DA1B22"/>
    <w:rsid w:val="00DA32E6"/>
    <w:rsid w:val="00DA32F7"/>
    <w:rsid w:val="00DA6E41"/>
    <w:rsid w:val="00DA7113"/>
    <w:rsid w:val="00DA7B9F"/>
    <w:rsid w:val="00DB06D2"/>
    <w:rsid w:val="00DB227D"/>
    <w:rsid w:val="00DB2997"/>
    <w:rsid w:val="00DB382B"/>
    <w:rsid w:val="00DB56BF"/>
    <w:rsid w:val="00DB675C"/>
    <w:rsid w:val="00DB6D92"/>
    <w:rsid w:val="00DB7520"/>
    <w:rsid w:val="00DC0462"/>
    <w:rsid w:val="00DC095B"/>
    <w:rsid w:val="00DC0A8A"/>
    <w:rsid w:val="00DC0CBC"/>
    <w:rsid w:val="00DC1A2A"/>
    <w:rsid w:val="00DC32FA"/>
    <w:rsid w:val="00DC395F"/>
    <w:rsid w:val="00DC57BD"/>
    <w:rsid w:val="00DC5943"/>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169"/>
    <w:rsid w:val="00DF1383"/>
    <w:rsid w:val="00DF23A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414A"/>
    <w:rsid w:val="00E30D80"/>
    <w:rsid w:val="00E3131F"/>
    <w:rsid w:val="00E319C5"/>
    <w:rsid w:val="00E31B55"/>
    <w:rsid w:val="00E324CC"/>
    <w:rsid w:val="00E34407"/>
    <w:rsid w:val="00E3467F"/>
    <w:rsid w:val="00E413B8"/>
    <w:rsid w:val="00E41CD1"/>
    <w:rsid w:val="00E42AC9"/>
    <w:rsid w:val="00E4440F"/>
    <w:rsid w:val="00E454D5"/>
    <w:rsid w:val="00E471DC"/>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35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31BB"/>
    <w:rsid w:val="00ED58D4"/>
    <w:rsid w:val="00ED5D30"/>
    <w:rsid w:val="00ED7753"/>
    <w:rsid w:val="00EE1449"/>
    <w:rsid w:val="00EE21FF"/>
    <w:rsid w:val="00EE27EA"/>
    <w:rsid w:val="00EE39D6"/>
    <w:rsid w:val="00EE41D1"/>
    <w:rsid w:val="00EE4A13"/>
    <w:rsid w:val="00EE4CB7"/>
    <w:rsid w:val="00EE5C23"/>
    <w:rsid w:val="00EE678D"/>
    <w:rsid w:val="00EE7D34"/>
    <w:rsid w:val="00EE7D43"/>
    <w:rsid w:val="00EF0613"/>
    <w:rsid w:val="00EF0929"/>
    <w:rsid w:val="00EF137B"/>
    <w:rsid w:val="00EF1C97"/>
    <w:rsid w:val="00EF2310"/>
    <w:rsid w:val="00EF236D"/>
    <w:rsid w:val="00EF2E8F"/>
    <w:rsid w:val="00EF4764"/>
    <w:rsid w:val="00EF49A3"/>
    <w:rsid w:val="00EF63F4"/>
    <w:rsid w:val="00EF6DD8"/>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989"/>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929"/>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546"/>
    <w:rsid w:val="00FB2853"/>
    <w:rsid w:val="00FB3D40"/>
    <w:rsid w:val="00FB3E6B"/>
    <w:rsid w:val="00FB3FF4"/>
    <w:rsid w:val="00FB4E84"/>
    <w:rsid w:val="00FB575F"/>
    <w:rsid w:val="00FB639A"/>
    <w:rsid w:val="00FB6E80"/>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3F14"/>
    <w:rsid w:val="00FE4872"/>
    <w:rsid w:val="00FE49B8"/>
    <w:rsid w:val="00FE536E"/>
    <w:rsid w:val="00FE55FE"/>
    <w:rsid w:val="00FE60CB"/>
    <w:rsid w:val="00FE7A7B"/>
    <w:rsid w:val="00FE7D17"/>
    <w:rsid w:val="00FE7D69"/>
    <w:rsid w:val="00FE7D91"/>
    <w:rsid w:val="00FF1068"/>
    <w:rsid w:val="00FF11A3"/>
    <w:rsid w:val="00FF16B5"/>
    <w:rsid w:val="00FF3A7C"/>
    <w:rsid w:val="00FF3F40"/>
    <w:rsid w:val="00FF42BC"/>
    <w:rsid w:val="00FF5AE0"/>
    <w:rsid w:val="00FF7198"/>
    <w:rsid w:val="00FF7509"/>
    <w:rsid w:val="23DB6C5F"/>
    <w:rsid w:val="396770E4"/>
    <w:rsid w:val="3DBD4F09"/>
    <w:rsid w:val="3EEB1DC3"/>
    <w:rsid w:val="3FDD048B"/>
    <w:rsid w:val="3FFFD48C"/>
    <w:rsid w:val="53DD2904"/>
    <w:rsid w:val="582D2C46"/>
    <w:rsid w:val="5BDE0788"/>
    <w:rsid w:val="5DE96162"/>
    <w:rsid w:val="5EDE1891"/>
    <w:rsid w:val="5EEF42C9"/>
    <w:rsid w:val="6DD73119"/>
    <w:rsid w:val="6EFF937E"/>
    <w:rsid w:val="6F9FC07D"/>
    <w:rsid w:val="733FB10E"/>
    <w:rsid w:val="73CF574E"/>
    <w:rsid w:val="76776A1C"/>
    <w:rsid w:val="76F7B5EF"/>
    <w:rsid w:val="77F73FA8"/>
    <w:rsid w:val="79F912B1"/>
    <w:rsid w:val="7C9DA542"/>
    <w:rsid w:val="7DDE2734"/>
    <w:rsid w:val="7DDE8F04"/>
    <w:rsid w:val="7DFB7FD5"/>
    <w:rsid w:val="7F36E0DA"/>
    <w:rsid w:val="7F6D9710"/>
    <w:rsid w:val="7FA78D69"/>
    <w:rsid w:val="7FBC62E1"/>
    <w:rsid w:val="7FCEC353"/>
    <w:rsid w:val="7FD4BA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0E2B089-B85E-46A8-844B-DC689802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uiPriority="39"/>
    <w:lsdException w:name="toc 2" w:uiPriority="39" w:qFormat="1"/>
    <w:lsdException w:name="toc 3" w:semiHidden="1" w:qFormat="1"/>
    <w:lsdException w:name="toc 4" w:semiHidden="1"/>
    <w:lsdException w:name="toc 5" w:semiHidden="1"/>
    <w:lsdException w:name="toc 6" w:semiHidden="1"/>
    <w:lsdException w:name="toc 7" w:semiHidden="1" w:qFormat="1"/>
    <w:lsdException w:name="toc 8" w:uiPriority="39" w:qFormat="1"/>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pPr>
      <w:ind w:left="704" w:hanging="420"/>
    </w:pPr>
    <w:rPr>
      <w:rFonts w:eastAsia="宋体"/>
    </w:rPr>
  </w:style>
  <w:style w:type="paragraph" w:styleId="70">
    <w:name w:val="toc 7"/>
    <w:basedOn w:val="60"/>
    <w:next w:val="a2"/>
    <w:semiHidden/>
    <w:qFormat/>
    <w:pPr>
      <w:ind w:left="2268" w:hanging="2268"/>
    </w:pPr>
  </w:style>
  <w:style w:type="paragraph" w:styleId="60">
    <w:name w:val="toc 6"/>
    <w:basedOn w:val="50"/>
    <w:next w:val="a2"/>
    <w:semiHidden/>
    <w:pPr>
      <w:ind w:left="1985" w:hanging="1985"/>
    </w:pPr>
  </w:style>
  <w:style w:type="paragraph" w:styleId="50">
    <w:name w:val="toc 5"/>
    <w:basedOn w:val="42"/>
    <w:next w:val="a2"/>
    <w:semiHidden/>
    <w:pPr>
      <w:ind w:left="1701" w:hanging="1701"/>
    </w:pPr>
  </w:style>
  <w:style w:type="paragraph" w:styleId="42">
    <w:name w:val="toc 4"/>
    <w:basedOn w:val="31"/>
    <w:next w:val="a2"/>
    <w:semiHidden/>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pPr>
      <w:numPr>
        <w:numId w:val="1"/>
      </w:numPr>
      <w:tabs>
        <w:tab w:val="clear" w:pos="1418"/>
        <w:tab w:val="left" w:pos="1600"/>
      </w:tabs>
      <w:ind w:left="1543"/>
    </w:pPr>
    <w:rPr>
      <w:rFonts w:eastAsia="宋体"/>
    </w:rPr>
  </w:style>
  <w:style w:type="paragraph" w:styleId="a1">
    <w:name w:val="List Number"/>
    <w:basedOn w:val="a6"/>
    <w:pPr>
      <w:numPr>
        <w:numId w:val="2"/>
      </w:numPr>
    </w:pPr>
  </w:style>
  <w:style w:type="paragraph" w:styleId="a7">
    <w:name w:val="caption"/>
    <w:basedOn w:val="a2"/>
    <w:next w:val="a2"/>
    <w:qFormat/>
    <w:pPr>
      <w:overflowPunct w:val="0"/>
      <w:autoSpaceDE w:val="0"/>
      <w:autoSpaceDN w:val="0"/>
      <w:adjustRightInd w:val="0"/>
      <w:spacing w:before="120" w:after="120"/>
      <w:textAlignment w:val="baseline"/>
    </w:pPr>
    <w:rPr>
      <w:b/>
      <w:lang w:val="en-US"/>
    </w:rPr>
  </w:style>
  <w:style w:type="paragraph" w:styleId="a8">
    <w:name w:val="List Bullet"/>
    <w:basedOn w:val="a6"/>
    <w:pPr>
      <w:ind w:left="0" w:firstLine="0"/>
    </w:pPr>
  </w:style>
  <w:style w:type="paragraph" w:styleId="a9">
    <w:name w:val="Document Map"/>
    <w:basedOn w:val="a2"/>
    <w:semiHidden/>
    <w:pPr>
      <w:shd w:val="clear" w:color="auto" w:fill="000080"/>
    </w:pPr>
    <w:rPr>
      <w:rFonts w:ascii="Tahoma" w:hAnsi="Tahoma" w:cs="Tahoma"/>
    </w:rPr>
  </w:style>
  <w:style w:type="paragraph" w:styleId="aa">
    <w:name w:val="annotation text"/>
    <w:basedOn w:val="a2"/>
    <w:link w:val="Char0"/>
    <w:semiHidden/>
  </w:style>
  <w:style w:type="paragraph" w:styleId="80">
    <w:name w:val="toc 8"/>
    <w:basedOn w:val="10"/>
    <w:next w:val="a2"/>
    <w:uiPriority w:val="39"/>
    <w:qFormat/>
    <w:pPr>
      <w:spacing w:before="180"/>
      <w:ind w:left="2693" w:hanging="2693"/>
    </w:pPr>
    <w:rPr>
      <w:b/>
    </w:rPr>
  </w:style>
  <w:style w:type="paragraph" w:styleId="ab">
    <w:name w:val="Balloon Text"/>
    <w:basedOn w:val="a2"/>
    <w:link w:val="Char1"/>
    <w:pPr>
      <w:spacing w:after="0"/>
    </w:pPr>
    <w:rPr>
      <w:rFonts w:ascii="Segoe UI" w:hAnsi="Segoe UI" w:cs="Segoe UI"/>
      <w:sz w:val="18"/>
      <w:szCs w:val="18"/>
    </w:rPr>
  </w:style>
  <w:style w:type="paragraph" w:styleId="ac">
    <w:name w:val="footer"/>
    <w:basedOn w:val="ad"/>
    <w:pPr>
      <w:jc w:val="center"/>
    </w:pPr>
    <w:rPr>
      <w:i/>
    </w:rPr>
  </w:style>
  <w:style w:type="paragraph" w:styleId="ad">
    <w:name w:val="header"/>
    <w:link w:val="Char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2"/>
    <w:semiHidden/>
    <w:qFormat/>
    <w:pPr>
      <w:keepLines/>
      <w:spacing w:after="0"/>
      <w:ind w:left="454" w:hanging="454"/>
    </w:pPr>
    <w:rPr>
      <w:sz w:val="16"/>
    </w:rPr>
  </w:style>
  <w:style w:type="paragraph" w:styleId="51">
    <w:name w:val="List 5"/>
    <w:basedOn w:val="43"/>
    <w:pPr>
      <w:ind w:left="1702"/>
    </w:pPr>
  </w:style>
  <w:style w:type="paragraph" w:styleId="43">
    <w:name w:val="List 4"/>
    <w:basedOn w:val="30"/>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pPr>
      <w:ind w:left="284"/>
    </w:pPr>
  </w:style>
  <w:style w:type="paragraph" w:styleId="af">
    <w:name w:val="annotation subject"/>
    <w:basedOn w:val="aa"/>
    <w:next w:val="aa"/>
    <w:semiHidden/>
    <w:rPr>
      <w:b/>
      <w:bCs/>
    </w:rPr>
  </w:style>
  <w:style w:type="table" w:styleId="af0">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rPr>
      <w:rFonts w:eastAsia="宋体"/>
      <w:color w:val="800080"/>
      <w:u w:val="single"/>
      <w:lang w:val="en-US" w:eastAsia="zh-CN" w:bidi="ar-SA"/>
    </w:rPr>
  </w:style>
  <w:style w:type="character" w:styleId="af2">
    <w:name w:val="Hyperlink"/>
    <w:rPr>
      <w:color w:val="0563C1"/>
      <w:u w:val="single"/>
    </w:rPr>
  </w:style>
  <w:style w:type="character" w:styleId="af3">
    <w:name w:val="annotation reference"/>
    <w:semiHidden/>
    <w:rPr>
      <w:rFonts w:eastAsia="宋体"/>
      <w:sz w:val="16"/>
      <w:lang w:val="en-US" w:eastAsia="zh-CN" w:bidi="ar-SA"/>
    </w:rPr>
  </w:style>
  <w:style w:type="character" w:styleId="af4">
    <w:name w:val="footnote reference"/>
    <w:semiHidden/>
    <w:rPr>
      <w:rFonts w:eastAsia="宋体"/>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a2"/>
    <w:pPr>
      <w:numPr>
        <w:numId w:val="3"/>
      </w:numPr>
      <w:tabs>
        <w:tab w:val="clear" w:pos="840"/>
        <w:tab w:val="left" w:pos="704"/>
      </w:tabs>
      <w:ind w:left="704" w:hanging="420"/>
    </w:pPr>
    <w:rPr>
      <w:rFonts w:eastAsia="宋体"/>
      <w:lang w:eastAsia="zh-CN"/>
    </w:rPr>
  </w:style>
  <w:style w:type="paragraph" w:customStyle="1" w:styleId="Reference">
    <w:name w:val="Reference"/>
    <w:basedOn w:val="a2"/>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5">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rPr>
      <w:rFonts w:ascii="Arial" w:eastAsia="MS Mincho" w:hAnsi="Arial"/>
      <w:sz w:val="24"/>
      <w:lang w:val="en-GB" w:eastAsia="en-US"/>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qFormat/>
    <w:rPr>
      <w:rFonts w:eastAsia="Arial"/>
    </w:rPr>
  </w:style>
  <w:style w:type="paragraph" w:customStyle="1" w:styleId="af7">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Char1">
    <w:name w:val="批注框文本 Char"/>
    <w:link w:val="ab"/>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customStyle="1" w:styleId="memoheader">
    <w:name w:val="memo header"/>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5"/>
      </w:numPr>
    </w:pPr>
  </w:style>
  <w:style w:type="paragraph" w:customStyle="1" w:styleId="a">
    <w:name w:val="插图题注"/>
    <w:basedOn w:val="a2"/>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ind w:left="1560" w:hanging="1200"/>
    </w:pPr>
    <w:rPr>
      <w:b/>
    </w:rPr>
  </w:style>
  <w:style w:type="paragraph" w:customStyle="1" w:styleId="TOC1">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paragraph" w:styleId="af9">
    <w:name w:val="List Paragraph"/>
    <w:basedOn w:val="a2"/>
    <w:link w:val="Char3"/>
    <w:uiPriority w:val="34"/>
    <w:qFormat/>
    <w:pPr>
      <w:ind w:left="720"/>
      <w:contextualSpacing/>
    </w:pPr>
    <w:rPr>
      <w:rFonts w:eastAsia="宋体"/>
    </w:rPr>
  </w:style>
  <w:style w:type="character" w:customStyle="1" w:styleId="CRCoverPageZchn">
    <w:name w:val="CR Cover Page Zchn"/>
    <w:link w:val="CRCoverPage"/>
    <w:rPr>
      <w:rFonts w:ascii="Arial" w:hAnsi="Arial"/>
      <w:lang w:val="en-GB"/>
    </w:rPr>
  </w:style>
  <w:style w:type="character" w:customStyle="1" w:styleId="Char2">
    <w:name w:val="页眉 Char"/>
    <w:basedOn w:val="a3"/>
    <w:link w:val="ad"/>
    <w:rPr>
      <w:rFonts w:ascii="Arial" w:eastAsia="Times New Roman" w:hAnsi="Arial"/>
      <w:b/>
      <w:sz w:val="18"/>
      <w:lang w:val="en-GB" w:eastAsia="ja-JP"/>
    </w:rPr>
  </w:style>
  <w:style w:type="paragraph" w:customStyle="1" w:styleId="Source">
    <w:name w:val="Source"/>
    <w:basedOn w:val="a2"/>
    <w:pPr>
      <w:spacing w:after="60"/>
      <w:ind w:left="1985" w:hanging="1985"/>
    </w:pPr>
    <w:rPr>
      <w:rFonts w:ascii="Arial" w:eastAsia="等线" w:hAnsi="Arial" w:cs="Arial"/>
      <w:b/>
    </w:rPr>
  </w:style>
  <w:style w:type="character" w:customStyle="1" w:styleId="Char0">
    <w:name w:val="批注文字 Char"/>
    <w:basedOn w:val="a3"/>
    <w:link w:val="aa"/>
    <w:semiHidden/>
    <w:rPr>
      <w:rFonts w:eastAsia="Times New Roman"/>
      <w:lang w:val="en-GB" w:eastAsia="en-US"/>
    </w:rPr>
  </w:style>
  <w:style w:type="character" w:customStyle="1" w:styleId="Char3">
    <w:name w:val="列出段落 Char"/>
    <w:link w:val="af9"/>
    <w:uiPriority w:val="34"/>
    <w:qFormat/>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1603</Words>
  <Characters>9138</Characters>
  <Application>Microsoft Office Word</Application>
  <DocSecurity>0</DocSecurity>
  <Lines>76</Lines>
  <Paragraphs>21</Paragraphs>
  <ScaleCrop>false</ScaleCrop>
  <Company>Huawei Technologies Co.,Ltd.</Company>
  <LinksUpToDate>false</LinksUpToDate>
  <CharactersWithSpaces>10720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Huawei-Xubin</cp:lastModifiedBy>
  <cp:revision>4</cp:revision>
  <cp:lastPrinted>2009-04-25T07:01:00Z</cp:lastPrinted>
  <dcterms:created xsi:type="dcterms:W3CDTF">2022-10-31T11:50:00Z</dcterms:created>
  <dcterms:modified xsi:type="dcterms:W3CDTF">2022-11-04T06:37:00Z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(3)Nc6rPBENvkAK+QMsjWftaF0S2r0oNS4JANzOhwC2ZFtjY1auN0n6XvdPh5tsRE9yXt2Oz/Xc
Bs86/t5K71N8V0z5j6+nBCW+36xJgUuLbnUB2qPRunLHZ6gcPSPmdIRRWiEbC3QIbPEmA3Bf
2GZszMlnutNQnfXZtJz0UiPwzUB2MdRVzjVyzjwX8ZNBLscSZpz6/7wSTF3VcUvlwd5hf2Tr
COFg5srwOJvzN4M2si</vt:lpwstr>
  </property>
  <property fmtid="{D5CDD505-2E9C-101B-9397-08002B2CF9AE}" pid="17" name="_2015_ms_pID_7253431">
    <vt:lpwstr>f3LSVbWKJf1q84q4EUj9NN77mRxbQ9Gt1fXAhRndI7JYADISQalNue
4uHGKoxH734BUGlPlimmZtataCYKRGmV0NnsMQ26akYDo+884MSWE7Vj/Fs9lt6pDYYcUo08
KNsv5M+ccwsqkNC/JO/YOx9+cfrqHRgD0tCFrHxgC2hHdxhkni+bhVflc9XTpx+5RscPm3vk
vC4/NEV30bxCsDb0YNI63IoLTRtPuZXCjecM</vt:lpwstr>
  </property>
  <property fmtid="{D5CDD505-2E9C-101B-9397-08002B2CF9AE}" pid="18" name="_2015_ms_pID_7253432">
    <vt:lpwstr>TWEiL6LZgKHx5vnDDz2vc+g=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1664524915</vt:lpwstr>
  </property>
</Properties>
</file>